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D20DF" w14:textId="2865B1F7" w:rsidR="001500B8" w:rsidRPr="00FC079C" w:rsidRDefault="001500B8" w:rsidP="00C151E9">
      <w:pPr>
        <w:jc w:val="both"/>
        <w:rPr>
          <w:rFonts w:ascii="Times New Roman" w:hAnsi="Times New Roman"/>
          <w:sz w:val="24"/>
          <w:szCs w:val="24"/>
        </w:rPr>
      </w:pPr>
      <w:r w:rsidRPr="00FC079C">
        <w:rPr>
          <w:rFonts w:ascii="Times New Roman" w:hAnsi="Times New Roman"/>
          <w:sz w:val="24"/>
          <w:szCs w:val="24"/>
        </w:rPr>
        <w:tab/>
      </w:r>
      <w:r w:rsidRPr="00FC079C">
        <w:rPr>
          <w:rFonts w:ascii="Times New Roman" w:hAnsi="Times New Roman"/>
          <w:sz w:val="24"/>
          <w:szCs w:val="24"/>
        </w:rPr>
        <w:tab/>
      </w:r>
      <w:r w:rsidRPr="00FC079C">
        <w:rPr>
          <w:rFonts w:ascii="Times New Roman" w:hAnsi="Times New Roman"/>
          <w:sz w:val="24"/>
          <w:szCs w:val="24"/>
        </w:rPr>
        <w:tab/>
      </w:r>
      <w:r w:rsidRPr="00FC079C">
        <w:rPr>
          <w:rFonts w:ascii="Times New Roman" w:hAnsi="Times New Roman"/>
          <w:sz w:val="24"/>
          <w:szCs w:val="24"/>
        </w:rPr>
        <w:tab/>
      </w:r>
      <w:r w:rsidRPr="00FC079C">
        <w:rPr>
          <w:rFonts w:ascii="Times New Roman" w:hAnsi="Times New Roman"/>
          <w:sz w:val="24"/>
          <w:szCs w:val="24"/>
        </w:rPr>
        <w:tab/>
      </w:r>
    </w:p>
    <w:p w14:paraId="7EEA0549" w14:textId="77777777" w:rsidR="0056567A" w:rsidRPr="006942F2" w:rsidRDefault="0056567A" w:rsidP="0056567A">
      <w:pPr>
        <w:jc w:val="center"/>
        <w:rPr>
          <w:rFonts w:ascii="Times New Roman" w:hAnsi="Times New Roman"/>
          <w:b/>
          <w:sz w:val="24"/>
          <w:szCs w:val="24"/>
        </w:rPr>
      </w:pPr>
      <w:r w:rsidRPr="006942F2">
        <w:rPr>
          <w:rFonts w:ascii="Times New Roman" w:hAnsi="Times New Roman"/>
          <w:b/>
          <w:sz w:val="24"/>
          <w:szCs w:val="24"/>
        </w:rPr>
        <w:t>NOTICE TO TAXPAYERS</w:t>
      </w:r>
    </w:p>
    <w:p w14:paraId="72D9C145" w14:textId="77777777" w:rsidR="0056567A" w:rsidRPr="006942F2" w:rsidRDefault="0056567A" w:rsidP="0056567A">
      <w:pPr>
        <w:jc w:val="center"/>
        <w:rPr>
          <w:rFonts w:ascii="Times New Roman" w:hAnsi="Times New Roman"/>
          <w:b/>
          <w:sz w:val="24"/>
          <w:szCs w:val="24"/>
        </w:rPr>
      </w:pPr>
      <w:r w:rsidRPr="006942F2">
        <w:rPr>
          <w:rFonts w:ascii="Times New Roman" w:hAnsi="Times New Roman"/>
          <w:b/>
          <w:sz w:val="24"/>
          <w:szCs w:val="24"/>
        </w:rPr>
        <w:t xml:space="preserve"> HEARING ON PROPOSED LOCAL INCOME TAX </w:t>
      </w:r>
    </w:p>
    <w:p w14:paraId="26D868BB" w14:textId="07598DAD" w:rsidR="0056567A" w:rsidRPr="006942F2" w:rsidRDefault="0056567A" w:rsidP="0056567A">
      <w:pPr>
        <w:jc w:val="center"/>
        <w:rPr>
          <w:rFonts w:ascii="Times New Roman" w:hAnsi="Times New Roman"/>
          <w:b/>
          <w:sz w:val="24"/>
          <w:szCs w:val="24"/>
        </w:rPr>
      </w:pPr>
      <w:r w:rsidRPr="00AF0B20">
        <w:rPr>
          <w:rFonts w:ascii="Times New Roman" w:hAnsi="Times New Roman"/>
          <w:b/>
          <w:sz w:val="24"/>
          <w:szCs w:val="24"/>
        </w:rPr>
        <w:t>ORDINANCE #</w:t>
      </w:r>
      <w:r w:rsidR="00AC2903">
        <w:rPr>
          <w:rFonts w:ascii="Times New Roman" w:hAnsi="Times New Roman"/>
          <w:b/>
          <w:sz w:val="24"/>
          <w:szCs w:val="24"/>
        </w:rPr>
        <w:t xml:space="preserve"> 2024-30</w:t>
      </w:r>
    </w:p>
    <w:p w14:paraId="5736A0BA" w14:textId="77777777" w:rsidR="0056567A" w:rsidRPr="006942F2" w:rsidRDefault="0056567A" w:rsidP="0056567A">
      <w:pPr>
        <w:rPr>
          <w:rFonts w:ascii="Times New Roman" w:hAnsi="Times New Roman"/>
          <w:sz w:val="24"/>
          <w:szCs w:val="24"/>
        </w:rPr>
      </w:pPr>
      <w:r w:rsidRPr="006942F2">
        <w:rPr>
          <w:rFonts w:ascii="Times New Roman" w:hAnsi="Times New Roman"/>
          <w:sz w:val="24"/>
          <w:szCs w:val="24"/>
        </w:rPr>
        <w:tab/>
      </w:r>
      <w:r w:rsidRPr="006942F2">
        <w:rPr>
          <w:rFonts w:ascii="Times New Roman" w:hAnsi="Times New Roman"/>
          <w:sz w:val="24"/>
          <w:szCs w:val="24"/>
        </w:rPr>
        <w:tab/>
      </w:r>
      <w:r w:rsidRPr="006942F2">
        <w:rPr>
          <w:rFonts w:ascii="Times New Roman" w:hAnsi="Times New Roman"/>
          <w:sz w:val="24"/>
          <w:szCs w:val="24"/>
        </w:rPr>
        <w:tab/>
      </w:r>
      <w:r w:rsidRPr="006942F2">
        <w:rPr>
          <w:rFonts w:ascii="Times New Roman" w:hAnsi="Times New Roman"/>
          <w:sz w:val="24"/>
          <w:szCs w:val="24"/>
        </w:rPr>
        <w:tab/>
      </w:r>
      <w:r w:rsidRPr="006942F2">
        <w:rPr>
          <w:rFonts w:ascii="Times New Roman" w:hAnsi="Times New Roman"/>
          <w:sz w:val="24"/>
          <w:szCs w:val="24"/>
        </w:rPr>
        <w:tab/>
      </w:r>
    </w:p>
    <w:p w14:paraId="367A939D" w14:textId="50635DF8" w:rsidR="0056567A" w:rsidRPr="006942F2" w:rsidRDefault="0056567A" w:rsidP="0056567A">
      <w:pPr>
        <w:jc w:val="both"/>
        <w:rPr>
          <w:rFonts w:ascii="Times New Roman" w:hAnsi="Times New Roman"/>
          <w:sz w:val="24"/>
          <w:szCs w:val="24"/>
        </w:rPr>
      </w:pPr>
      <w:r w:rsidRPr="006942F2">
        <w:rPr>
          <w:rFonts w:ascii="Times New Roman" w:hAnsi="Times New Roman"/>
          <w:sz w:val="24"/>
          <w:szCs w:val="24"/>
        </w:rPr>
        <w:t xml:space="preserve">Notice is hereby given to the taxpayers of </w:t>
      </w:r>
      <w:r>
        <w:rPr>
          <w:rFonts w:ascii="Times New Roman" w:hAnsi="Times New Roman"/>
          <w:sz w:val="24"/>
          <w:szCs w:val="24"/>
        </w:rPr>
        <w:t>Hendricks County, Indiana</w:t>
      </w:r>
      <w:r w:rsidRPr="006942F2">
        <w:rPr>
          <w:rFonts w:ascii="Times New Roman" w:hAnsi="Times New Roman"/>
          <w:sz w:val="24"/>
          <w:szCs w:val="24"/>
        </w:rPr>
        <w:t>, that the</w:t>
      </w:r>
      <w:r>
        <w:rPr>
          <w:rFonts w:ascii="Times New Roman" w:hAnsi="Times New Roman"/>
          <w:sz w:val="24"/>
          <w:szCs w:val="24"/>
        </w:rPr>
        <w:t xml:space="preserve"> Hendricks County Council </w:t>
      </w:r>
      <w:r w:rsidRPr="006942F2">
        <w:rPr>
          <w:rFonts w:ascii="Times New Roman" w:hAnsi="Times New Roman"/>
          <w:sz w:val="24"/>
          <w:szCs w:val="24"/>
        </w:rPr>
        <w:t>will consider at</w:t>
      </w:r>
      <w:r>
        <w:rPr>
          <w:rFonts w:ascii="Times New Roman" w:hAnsi="Times New Roman"/>
          <w:sz w:val="24"/>
          <w:szCs w:val="24"/>
        </w:rPr>
        <w:t xml:space="preserve"> the Hendricks County Commissioners’ Meeting Room located in the Hendricks County Government Center, 355 S. Washington St., Danville, Indiana, at 9:00 o’clock a.m. on </w:t>
      </w:r>
      <w:r w:rsidR="00AC2903">
        <w:rPr>
          <w:rFonts w:ascii="Times New Roman" w:hAnsi="Times New Roman"/>
          <w:sz w:val="24"/>
          <w:szCs w:val="24"/>
        </w:rPr>
        <w:t>Tuesday, September 17</w:t>
      </w:r>
      <w:r w:rsidR="00AF0B20">
        <w:rPr>
          <w:rFonts w:ascii="Times New Roman" w:hAnsi="Times New Roman"/>
          <w:sz w:val="24"/>
          <w:szCs w:val="24"/>
        </w:rPr>
        <w:t xml:space="preserve">, 2024, </w:t>
      </w:r>
      <w:r>
        <w:rPr>
          <w:rFonts w:ascii="Times New Roman" w:hAnsi="Times New Roman"/>
          <w:sz w:val="24"/>
          <w:szCs w:val="24"/>
        </w:rPr>
        <w:t xml:space="preserve">the following </w:t>
      </w:r>
      <w:r w:rsidRPr="006942F2">
        <w:rPr>
          <w:rFonts w:ascii="Times New Roman" w:hAnsi="Times New Roman"/>
          <w:sz w:val="24"/>
          <w:szCs w:val="24"/>
        </w:rPr>
        <w:t xml:space="preserve">proposed ordinance regarding the local income tax imposed within </w:t>
      </w:r>
      <w:r>
        <w:rPr>
          <w:rFonts w:ascii="Times New Roman" w:hAnsi="Times New Roman"/>
          <w:sz w:val="24"/>
          <w:szCs w:val="24"/>
        </w:rPr>
        <w:t xml:space="preserve">Hendricks </w:t>
      </w:r>
      <w:r w:rsidRPr="006942F2">
        <w:rPr>
          <w:rFonts w:ascii="Times New Roman" w:hAnsi="Times New Roman"/>
          <w:sz w:val="24"/>
          <w:szCs w:val="24"/>
        </w:rPr>
        <w:t>County</w:t>
      </w:r>
      <w:r>
        <w:rPr>
          <w:rFonts w:ascii="Times New Roman" w:hAnsi="Times New Roman"/>
          <w:sz w:val="24"/>
          <w:szCs w:val="24"/>
        </w:rPr>
        <w:t>:</w:t>
      </w:r>
    </w:p>
    <w:p w14:paraId="177DBF69" w14:textId="77777777" w:rsidR="0056567A" w:rsidRPr="006942F2" w:rsidRDefault="0056567A" w:rsidP="0056567A">
      <w:pPr>
        <w:rPr>
          <w:rFonts w:ascii="Times New Roman" w:hAnsi="Times New Roman"/>
          <w:sz w:val="24"/>
          <w:szCs w:val="24"/>
        </w:rPr>
      </w:pPr>
      <w:r w:rsidRPr="006942F2">
        <w:rPr>
          <w:rFonts w:ascii="Times New Roman" w:hAnsi="Times New Roman"/>
          <w:sz w:val="24"/>
          <w:szCs w:val="24"/>
        </w:rPr>
        <w:tab/>
      </w:r>
      <w:r w:rsidRPr="006942F2">
        <w:rPr>
          <w:rFonts w:ascii="Times New Roman" w:hAnsi="Times New Roman"/>
          <w:sz w:val="24"/>
          <w:szCs w:val="24"/>
        </w:rPr>
        <w:tab/>
      </w:r>
      <w:r w:rsidRPr="006942F2">
        <w:rPr>
          <w:rFonts w:ascii="Times New Roman" w:hAnsi="Times New Roman"/>
          <w:sz w:val="24"/>
          <w:szCs w:val="24"/>
        </w:rPr>
        <w:tab/>
      </w:r>
      <w:r w:rsidRPr="006942F2">
        <w:rPr>
          <w:rFonts w:ascii="Times New Roman" w:hAnsi="Times New Roman"/>
          <w:sz w:val="24"/>
          <w:szCs w:val="24"/>
        </w:rPr>
        <w:tab/>
      </w:r>
      <w:r w:rsidRPr="006942F2">
        <w:rPr>
          <w:rFonts w:ascii="Times New Roman" w:hAnsi="Times New Roman"/>
          <w:sz w:val="24"/>
          <w:szCs w:val="24"/>
        </w:rPr>
        <w:tab/>
      </w:r>
      <w:r w:rsidRPr="006942F2">
        <w:rPr>
          <w:rFonts w:ascii="Times New Roman" w:hAnsi="Times New Roman"/>
          <w:sz w:val="24"/>
          <w:szCs w:val="24"/>
        </w:rPr>
        <w:tab/>
      </w:r>
      <w:r w:rsidRPr="006942F2">
        <w:rPr>
          <w:rFonts w:ascii="Times New Roman" w:hAnsi="Times New Roman"/>
          <w:sz w:val="24"/>
          <w:szCs w:val="24"/>
        </w:rPr>
        <w:tab/>
      </w:r>
      <w:r w:rsidRPr="006942F2">
        <w:rPr>
          <w:rFonts w:ascii="Times New Roman" w:hAnsi="Times New Roman"/>
          <w:sz w:val="24"/>
          <w:szCs w:val="24"/>
        </w:rPr>
        <w:tab/>
      </w:r>
      <w:r w:rsidRPr="006942F2">
        <w:rPr>
          <w:rFonts w:ascii="Times New Roman" w:hAnsi="Times New Roman"/>
          <w:sz w:val="24"/>
          <w:szCs w:val="24"/>
        </w:rPr>
        <w:tab/>
      </w:r>
    </w:p>
    <w:p w14:paraId="4E24DCA9" w14:textId="77777777" w:rsidR="0056567A" w:rsidRPr="006942F2" w:rsidRDefault="0056567A" w:rsidP="0056567A">
      <w:pPr>
        <w:jc w:val="center"/>
        <w:rPr>
          <w:rFonts w:ascii="Times New Roman" w:hAnsi="Times New Roman"/>
          <w:b/>
          <w:sz w:val="24"/>
          <w:szCs w:val="24"/>
        </w:rPr>
      </w:pPr>
      <w:r w:rsidRPr="006942F2">
        <w:rPr>
          <w:rFonts w:ascii="Times New Roman" w:hAnsi="Times New Roman"/>
          <w:b/>
          <w:sz w:val="24"/>
          <w:szCs w:val="24"/>
        </w:rPr>
        <w:t>ORDINANCE MODIFYING LOCAL INCOME TAX RATES</w:t>
      </w:r>
    </w:p>
    <w:p w14:paraId="77321E1A" w14:textId="77777777" w:rsidR="0056567A" w:rsidRPr="006942F2" w:rsidRDefault="0056567A" w:rsidP="0056567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HENDRICKS </w:t>
      </w:r>
      <w:r w:rsidRPr="006942F2">
        <w:rPr>
          <w:rFonts w:ascii="Times New Roman" w:hAnsi="Times New Roman"/>
          <w:b/>
          <w:sz w:val="24"/>
          <w:szCs w:val="24"/>
        </w:rPr>
        <w:t>COUNTY</w:t>
      </w:r>
      <w:r>
        <w:rPr>
          <w:rFonts w:ascii="Times New Roman" w:hAnsi="Times New Roman"/>
          <w:b/>
          <w:sz w:val="24"/>
          <w:szCs w:val="24"/>
        </w:rPr>
        <w:t>, INDIANA</w:t>
      </w:r>
    </w:p>
    <w:p w14:paraId="58B9BC10" w14:textId="77777777" w:rsidR="0056567A" w:rsidRPr="006942F2" w:rsidRDefault="0056567A" w:rsidP="0056567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8708BF3" w14:textId="77777777" w:rsidR="0056567A" w:rsidRDefault="0056567A" w:rsidP="0056567A">
      <w:pPr>
        <w:rPr>
          <w:rFonts w:ascii="Times New Roman" w:hAnsi="Times New Roman"/>
          <w:sz w:val="24"/>
          <w:szCs w:val="24"/>
        </w:rPr>
      </w:pPr>
      <w:r w:rsidRPr="006942F2">
        <w:rPr>
          <w:rFonts w:ascii="Times New Roman" w:hAnsi="Times New Roman"/>
          <w:b/>
          <w:sz w:val="24"/>
          <w:szCs w:val="24"/>
        </w:rPr>
        <w:t xml:space="preserve">BE IT ORDAINED </w:t>
      </w:r>
      <w:r w:rsidRPr="006942F2">
        <w:rPr>
          <w:rFonts w:ascii="Times New Roman" w:hAnsi="Times New Roman"/>
          <w:sz w:val="24"/>
          <w:szCs w:val="24"/>
        </w:rPr>
        <w:t xml:space="preserve">by the </w:t>
      </w:r>
      <w:r>
        <w:rPr>
          <w:rFonts w:ascii="Times New Roman" w:hAnsi="Times New Roman"/>
          <w:sz w:val="24"/>
          <w:szCs w:val="24"/>
        </w:rPr>
        <w:t xml:space="preserve">County Council of Hendricks County, Indiana </w:t>
      </w:r>
      <w:r w:rsidRPr="006942F2">
        <w:rPr>
          <w:rFonts w:ascii="Times New Roman" w:hAnsi="Times New Roman"/>
          <w:sz w:val="24"/>
          <w:szCs w:val="24"/>
        </w:rPr>
        <w:t>that a need now exists to modify the local income tax rates imposed in the following way:</w:t>
      </w:r>
    </w:p>
    <w:p w14:paraId="40B5D6D3" w14:textId="77777777" w:rsidR="0056567A" w:rsidRDefault="0056567A" w:rsidP="0056567A">
      <w:pPr>
        <w:rPr>
          <w:rFonts w:ascii="Times New Roman" w:hAnsi="Times New Roman"/>
          <w:sz w:val="24"/>
          <w:szCs w:val="24"/>
        </w:rPr>
      </w:pPr>
    </w:p>
    <w:p w14:paraId="166B360B" w14:textId="77777777" w:rsidR="00AF0B20" w:rsidRPr="002E7315" w:rsidRDefault="00AF0B20" w:rsidP="00AF0B20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SECTION 1: </w:t>
      </w:r>
      <w:r w:rsidRPr="002E7315">
        <w:rPr>
          <w:rFonts w:ascii="Times New Roman" w:hAnsi="Times New Roman"/>
          <w:b/>
          <w:bCs/>
          <w:sz w:val="24"/>
          <w:szCs w:val="24"/>
          <w:u w:val="single"/>
        </w:rPr>
        <w:t>LOCAL INCOME TAX RATES</w:t>
      </w:r>
    </w:p>
    <w:p w14:paraId="2A04FC62" w14:textId="77777777" w:rsidR="00AF0B20" w:rsidRPr="006942F2" w:rsidRDefault="00AF0B20" w:rsidP="00AF0B20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990" w:type="dxa"/>
        <w:tblInd w:w="-185" w:type="dxa"/>
        <w:tblLook w:val="04A0" w:firstRow="1" w:lastRow="0" w:firstColumn="1" w:lastColumn="0" w:noHBand="0" w:noVBand="1"/>
      </w:tblPr>
      <w:tblGrid>
        <w:gridCol w:w="5220"/>
        <w:gridCol w:w="2340"/>
        <w:gridCol w:w="2430"/>
      </w:tblGrid>
      <w:tr w:rsidR="00AF0B20" w:rsidRPr="006942F2" w14:paraId="23BB221E" w14:textId="77777777" w:rsidTr="00B75C8D">
        <w:tc>
          <w:tcPr>
            <w:tcW w:w="5220" w:type="dxa"/>
            <w:vAlign w:val="bottom"/>
          </w:tcPr>
          <w:p w14:paraId="1C52F629" w14:textId="77777777" w:rsidR="00AF0B20" w:rsidRPr="006942F2" w:rsidRDefault="00AF0B20" w:rsidP="00B75C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2F2">
              <w:rPr>
                <w:rFonts w:ascii="Times New Roman" w:hAnsi="Times New Roman"/>
                <w:b/>
                <w:sz w:val="24"/>
                <w:szCs w:val="24"/>
              </w:rPr>
              <w:t>Allocation Rate Category</w:t>
            </w:r>
          </w:p>
        </w:tc>
        <w:tc>
          <w:tcPr>
            <w:tcW w:w="2340" w:type="dxa"/>
            <w:vAlign w:val="bottom"/>
          </w:tcPr>
          <w:p w14:paraId="35BA47B8" w14:textId="77777777" w:rsidR="00AF0B20" w:rsidRPr="006942F2" w:rsidRDefault="00AF0B20" w:rsidP="00B75C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2F2">
              <w:rPr>
                <w:rFonts w:ascii="Times New Roman" w:hAnsi="Times New Roman"/>
                <w:b/>
                <w:sz w:val="24"/>
                <w:szCs w:val="24"/>
              </w:rPr>
              <w:t>Existing LIT Rate</w:t>
            </w:r>
          </w:p>
        </w:tc>
        <w:tc>
          <w:tcPr>
            <w:tcW w:w="2430" w:type="dxa"/>
            <w:vAlign w:val="bottom"/>
          </w:tcPr>
          <w:p w14:paraId="465E1E3F" w14:textId="77777777" w:rsidR="00AF0B20" w:rsidRPr="006942F2" w:rsidRDefault="00AF0B20" w:rsidP="00B75C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2F2">
              <w:rPr>
                <w:rFonts w:ascii="Times New Roman" w:hAnsi="Times New Roman"/>
                <w:b/>
                <w:sz w:val="24"/>
                <w:szCs w:val="24"/>
              </w:rPr>
              <w:t>Proposed LIT Rate</w:t>
            </w:r>
          </w:p>
        </w:tc>
      </w:tr>
      <w:tr w:rsidR="00AF0B20" w:rsidRPr="006942F2" w14:paraId="747DDF98" w14:textId="77777777" w:rsidTr="00B75C8D">
        <w:tc>
          <w:tcPr>
            <w:tcW w:w="5220" w:type="dxa"/>
          </w:tcPr>
          <w:p w14:paraId="5D189A76" w14:textId="77777777" w:rsidR="00AF0B20" w:rsidRPr="006942F2" w:rsidRDefault="00AF0B20" w:rsidP="00B75C8D">
            <w:pPr>
              <w:rPr>
                <w:rFonts w:ascii="Times New Roman" w:hAnsi="Times New Roman"/>
                <w:sz w:val="24"/>
                <w:szCs w:val="24"/>
              </w:rPr>
            </w:pPr>
            <w:r w:rsidRPr="006942F2">
              <w:rPr>
                <w:rFonts w:ascii="Times New Roman" w:hAnsi="Times New Roman"/>
                <w:sz w:val="24"/>
                <w:szCs w:val="24"/>
              </w:rPr>
              <w:t>Certified Shares (Ind. Code § 6-3.6-6)</w:t>
            </w:r>
          </w:p>
        </w:tc>
        <w:tc>
          <w:tcPr>
            <w:tcW w:w="2340" w:type="dxa"/>
          </w:tcPr>
          <w:p w14:paraId="13EA783D" w14:textId="77777777" w:rsidR="00AF0B20" w:rsidRPr="006942F2" w:rsidRDefault="00AF0B20" w:rsidP="00B75C8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1.0000</w:t>
            </w:r>
            <w:r w:rsidRPr="006942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30" w:type="dxa"/>
          </w:tcPr>
          <w:p w14:paraId="251367B2" w14:textId="77777777" w:rsidR="00AF0B20" w:rsidRPr="006942F2" w:rsidRDefault="00AF0B20" w:rsidP="00B75C8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1.0000</w:t>
            </w:r>
            <w:r w:rsidRPr="006942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0B20" w:rsidRPr="006942F2" w14:paraId="2E0EB8B7" w14:textId="77777777" w:rsidTr="00B75C8D">
        <w:tc>
          <w:tcPr>
            <w:tcW w:w="5220" w:type="dxa"/>
          </w:tcPr>
          <w:p w14:paraId="1BF7B272" w14:textId="77777777" w:rsidR="00AF0B20" w:rsidRPr="006942F2" w:rsidRDefault="00AF0B20" w:rsidP="00B75C8D">
            <w:pPr>
              <w:rPr>
                <w:rFonts w:ascii="Times New Roman" w:hAnsi="Times New Roman"/>
                <w:sz w:val="24"/>
                <w:szCs w:val="24"/>
              </w:rPr>
            </w:pPr>
            <w:r w:rsidRPr="006942F2">
              <w:rPr>
                <w:rFonts w:ascii="Times New Roman" w:hAnsi="Times New Roman"/>
                <w:sz w:val="24"/>
                <w:szCs w:val="24"/>
              </w:rPr>
              <w:t>Public Safety (Ind. Code § 6-3.6-6)</w:t>
            </w:r>
          </w:p>
        </w:tc>
        <w:tc>
          <w:tcPr>
            <w:tcW w:w="2340" w:type="dxa"/>
          </w:tcPr>
          <w:p w14:paraId="08858C5E" w14:textId="77777777" w:rsidR="00AF0B20" w:rsidRPr="006942F2" w:rsidRDefault="00AF0B20" w:rsidP="00B75C8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0.1000</w:t>
            </w:r>
            <w:r w:rsidRPr="006942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30" w:type="dxa"/>
          </w:tcPr>
          <w:p w14:paraId="0666BA88" w14:textId="77777777" w:rsidR="00AF0B20" w:rsidRPr="006942F2" w:rsidRDefault="00AF0B20" w:rsidP="00B75C8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0.1000</w:t>
            </w:r>
            <w:r w:rsidRPr="006942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0B20" w:rsidRPr="006942F2" w14:paraId="4637B507" w14:textId="77777777" w:rsidTr="00B75C8D">
        <w:tc>
          <w:tcPr>
            <w:tcW w:w="5220" w:type="dxa"/>
          </w:tcPr>
          <w:p w14:paraId="05D11EFF" w14:textId="77777777" w:rsidR="00AF0B20" w:rsidRPr="006942F2" w:rsidRDefault="00AF0B20" w:rsidP="00B75C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42F2">
              <w:rPr>
                <w:rFonts w:ascii="Times New Roman" w:hAnsi="Times New Roman"/>
                <w:sz w:val="24"/>
                <w:szCs w:val="24"/>
              </w:rPr>
              <w:t>Economic Development (Ind. Code § 6-3.6-6)</w:t>
            </w:r>
          </w:p>
        </w:tc>
        <w:tc>
          <w:tcPr>
            <w:tcW w:w="2340" w:type="dxa"/>
          </w:tcPr>
          <w:p w14:paraId="429EE04C" w14:textId="77777777" w:rsidR="00AF0B20" w:rsidRPr="006942F2" w:rsidRDefault="00AF0B20" w:rsidP="00B75C8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0.2500</w:t>
            </w:r>
            <w:r w:rsidRPr="006942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30" w:type="dxa"/>
          </w:tcPr>
          <w:p w14:paraId="640F9E45" w14:textId="77777777" w:rsidR="00AF0B20" w:rsidRPr="006942F2" w:rsidRDefault="00AF0B20" w:rsidP="00B75C8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0.3000</w:t>
            </w:r>
            <w:r w:rsidRPr="006942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0B20" w:rsidRPr="006942F2" w14:paraId="4B000C71" w14:textId="77777777" w:rsidTr="00B75C8D">
        <w:tc>
          <w:tcPr>
            <w:tcW w:w="5220" w:type="dxa"/>
          </w:tcPr>
          <w:p w14:paraId="62289FF6" w14:textId="77777777" w:rsidR="00AF0B20" w:rsidRPr="006942F2" w:rsidRDefault="00AF0B20" w:rsidP="00B75C8D">
            <w:pPr>
              <w:rPr>
                <w:rFonts w:ascii="Times New Roman" w:hAnsi="Times New Roman"/>
                <w:sz w:val="24"/>
                <w:szCs w:val="24"/>
              </w:rPr>
            </w:pPr>
            <w:r w:rsidRPr="006942F2">
              <w:rPr>
                <w:rFonts w:ascii="Times New Roman" w:hAnsi="Times New Roman"/>
                <w:sz w:val="24"/>
                <w:szCs w:val="24"/>
              </w:rPr>
              <w:t>Property Tax Relief Rate (Ind. Code § 6-3.6-5)</w:t>
            </w:r>
          </w:p>
        </w:tc>
        <w:tc>
          <w:tcPr>
            <w:tcW w:w="2340" w:type="dxa"/>
          </w:tcPr>
          <w:p w14:paraId="4B8D9914" w14:textId="77777777" w:rsidR="00AF0B20" w:rsidRPr="006942F2" w:rsidRDefault="00AF0B20" w:rsidP="00B75C8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0.1500</w:t>
            </w:r>
            <w:r w:rsidRPr="006942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30" w:type="dxa"/>
          </w:tcPr>
          <w:p w14:paraId="12365FA6" w14:textId="77777777" w:rsidR="00AF0B20" w:rsidRPr="006942F2" w:rsidRDefault="00AF0B20" w:rsidP="00B75C8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0.1500</w:t>
            </w:r>
            <w:r w:rsidRPr="006942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0B20" w:rsidRPr="006942F2" w14:paraId="4EDD470F" w14:textId="77777777" w:rsidTr="00B75C8D">
        <w:trPr>
          <w:trHeight w:val="215"/>
        </w:trPr>
        <w:tc>
          <w:tcPr>
            <w:tcW w:w="5220" w:type="dxa"/>
          </w:tcPr>
          <w:p w14:paraId="5BEA1A2C" w14:textId="77777777" w:rsidR="00AF0B20" w:rsidRPr="006942F2" w:rsidRDefault="00AF0B20" w:rsidP="00B75C8D">
            <w:pPr>
              <w:rPr>
                <w:rFonts w:ascii="Times New Roman" w:hAnsi="Times New Roman"/>
                <w:sz w:val="24"/>
                <w:szCs w:val="24"/>
              </w:rPr>
            </w:pPr>
            <w:r w:rsidRPr="006942F2">
              <w:rPr>
                <w:rFonts w:ascii="Times New Roman" w:hAnsi="Times New Roman"/>
                <w:sz w:val="24"/>
                <w:szCs w:val="24"/>
              </w:rPr>
              <w:t xml:space="preserve">Special Purpose Rate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942F2">
              <w:rPr>
                <w:rFonts w:ascii="Times New Roman" w:hAnsi="Times New Roman"/>
                <w:sz w:val="24"/>
                <w:szCs w:val="24"/>
              </w:rPr>
              <w:t>Ind. Code § 6-3.6-7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3EFB02FE" w14:textId="77777777" w:rsidR="00AF0B20" w:rsidRPr="006942F2" w:rsidRDefault="00AF0B20" w:rsidP="00B75C8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42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30" w:type="dxa"/>
          </w:tcPr>
          <w:p w14:paraId="3EAEB186" w14:textId="77777777" w:rsidR="00AF0B20" w:rsidRPr="006942F2" w:rsidRDefault="00AF0B20" w:rsidP="00B75C8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42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0B20" w:rsidRPr="006942F2" w14:paraId="1ED1BA8B" w14:textId="77777777" w:rsidTr="00B75C8D">
        <w:trPr>
          <w:trHeight w:val="215"/>
        </w:trPr>
        <w:tc>
          <w:tcPr>
            <w:tcW w:w="5220" w:type="dxa"/>
          </w:tcPr>
          <w:p w14:paraId="19FBDB13" w14:textId="77777777" w:rsidR="00AF0B20" w:rsidRPr="006942F2" w:rsidRDefault="00AF0B20" w:rsidP="00B75C8D">
            <w:pPr>
              <w:rPr>
                <w:rFonts w:ascii="Times New Roman" w:hAnsi="Times New Roman"/>
                <w:sz w:val="24"/>
                <w:szCs w:val="24"/>
              </w:rPr>
            </w:pPr>
            <w:r w:rsidRPr="006942F2">
              <w:rPr>
                <w:rFonts w:ascii="Times New Roman" w:hAnsi="Times New Roman"/>
                <w:sz w:val="24"/>
                <w:szCs w:val="24"/>
              </w:rPr>
              <w:t xml:space="preserve">Correctional or </w:t>
            </w:r>
          </w:p>
          <w:p w14:paraId="6E102C76" w14:textId="77777777" w:rsidR="00AF0B20" w:rsidRPr="006942F2" w:rsidRDefault="00AF0B20" w:rsidP="00B75C8D">
            <w:pPr>
              <w:rPr>
                <w:rFonts w:ascii="Times New Roman" w:hAnsi="Times New Roman"/>
                <w:sz w:val="24"/>
                <w:szCs w:val="24"/>
              </w:rPr>
            </w:pPr>
            <w:r w:rsidRPr="006942F2">
              <w:rPr>
                <w:rFonts w:ascii="Times New Roman" w:hAnsi="Times New Roman"/>
                <w:sz w:val="24"/>
                <w:szCs w:val="24"/>
              </w:rPr>
              <w:t>Rehabilitation Facilities (Ind. Code § 6-3.6-6-2.7)</w:t>
            </w:r>
          </w:p>
        </w:tc>
        <w:tc>
          <w:tcPr>
            <w:tcW w:w="2340" w:type="dxa"/>
          </w:tcPr>
          <w:p w14:paraId="7D868C6C" w14:textId="77777777" w:rsidR="00AF0B20" w:rsidRPr="006942F2" w:rsidRDefault="00AF0B20" w:rsidP="00B75C8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0.2000</w:t>
            </w:r>
            <w:r w:rsidRPr="006942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30" w:type="dxa"/>
          </w:tcPr>
          <w:p w14:paraId="2DC5F842" w14:textId="77777777" w:rsidR="00AF0B20" w:rsidRPr="006942F2" w:rsidRDefault="00AF0B20" w:rsidP="00B75C8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0.1500</w:t>
            </w:r>
            <w:r w:rsidRPr="006942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14:paraId="6EEE33AB" w14:textId="77777777" w:rsidR="00AF0B20" w:rsidRPr="006942F2" w:rsidRDefault="00AF0B20" w:rsidP="00AF0B20">
      <w:pPr>
        <w:rPr>
          <w:rFonts w:ascii="Times New Roman" w:hAnsi="Times New Roman"/>
          <w:sz w:val="24"/>
          <w:szCs w:val="24"/>
        </w:rPr>
      </w:pPr>
    </w:p>
    <w:p w14:paraId="43412AC5" w14:textId="77777777" w:rsidR="00AF0B20" w:rsidRDefault="00AF0B20" w:rsidP="00AF0B20">
      <w:pPr>
        <w:ind w:left="2160" w:hanging="21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612A6F3" w14:textId="77777777" w:rsidR="00AF0B20" w:rsidRDefault="00AF0B20" w:rsidP="00AF0B20">
      <w:pPr>
        <w:ind w:left="2160" w:hanging="216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SECTION 2: APPLICATION OF PROPERTY TAX RELIEF BETWEEN ALLOCATION </w:t>
      </w:r>
    </w:p>
    <w:p w14:paraId="049B9AE3" w14:textId="77777777" w:rsidR="00AF0B20" w:rsidRPr="002C5AF6" w:rsidRDefault="00AF0B20" w:rsidP="00AF0B20">
      <w:pPr>
        <w:ind w:left="2160" w:hanging="216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CATEGORIES</w:t>
      </w:r>
    </w:p>
    <w:p w14:paraId="6091AB70" w14:textId="77777777" w:rsidR="00AF0B20" w:rsidRDefault="00AF0B20" w:rsidP="00AF0B20">
      <w:pPr>
        <w:ind w:left="2160" w:hanging="216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9735" w:type="dxa"/>
        <w:tblInd w:w="-185" w:type="dxa"/>
        <w:tblLook w:val="04A0" w:firstRow="1" w:lastRow="0" w:firstColumn="1" w:lastColumn="0" w:noHBand="0" w:noVBand="1"/>
      </w:tblPr>
      <w:tblGrid>
        <w:gridCol w:w="6940"/>
        <w:gridCol w:w="1371"/>
        <w:gridCol w:w="1424"/>
      </w:tblGrid>
      <w:tr w:rsidR="00AF0B20" w:rsidRPr="006942F2" w14:paraId="7ACCB5CE" w14:textId="77777777" w:rsidTr="00B75C8D">
        <w:trPr>
          <w:trHeight w:val="836"/>
        </w:trPr>
        <w:tc>
          <w:tcPr>
            <w:tcW w:w="6940" w:type="dxa"/>
          </w:tcPr>
          <w:p w14:paraId="4F6AD1A3" w14:textId="77777777" w:rsidR="00AF0B20" w:rsidRPr="006942F2" w:rsidRDefault="00AF0B20" w:rsidP="00B75C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2F2">
              <w:rPr>
                <w:rFonts w:ascii="Times New Roman" w:hAnsi="Times New Roman"/>
                <w:b/>
                <w:sz w:val="24"/>
                <w:szCs w:val="24"/>
              </w:rPr>
              <w:t xml:space="preserve">Property Tax Credit </w:t>
            </w:r>
          </w:p>
          <w:p w14:paraId="4FF92DE9" w14:textId="77777777" w:rsidR="00AF0B20" w:rsidRPr="006942F2" w:rsidRDefault="00AF0B20" w:rsidP="00B75C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2F2">
              <w:rPr>
                <w:rFonts w:ascii="Times New Roman" w:hAnsi="Times New Roman"/>
                <w:b/>
                <w:sz w:val="24"/>
                <w:szCs w:val="24"/>
              </w:rPr>
              <w:t>Allocation Categories</w:t>
            </w:r>
          </w:p>
          <w:p w14:paraId="2563195D" w14:textId="77777777" w:rsidR="00AF0B20" w:rsidRPr="00216AD2" w:rsidRDefault="00AF0B20" w:rsidP="00B75C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AD2">
              <w:rPr>
                <w:rFonts w:ascii="Times New Roman" w:hAnsi="Times New Roman"/>
                <w:b/>
                <w:sz w:val="24"/>
                <w:szCs w:val="24"/>
              </w:rPr>
              <w:t>(Ind. Code § 6-3.6-5-6)</w:t>
            </w:r>
          </w:p>
        </w:tc>
        <w:tc>
          <w:tcPr>
            <w:tcW w:w="1371" w:type="dxa"/>
          </w:tcPr>
          <w:p w14:paraId="65D0D6D4" w14:textId="77777777" w:rsidR="00AF0B20" w:rsidRPr="006942F2" w:rsidRDefault="00AF0B20" w:rsidP="00B75C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2F2">
              <w:rPr>
                <w:rFonts w:ascii="Times New Roman" w:hAnsi="Times New Roman"/>
                <w:b/>
                <w:sz w:val="24"/>
                <w:szCs w:val="24"/>
              </w:rPr>
              <w:t xml:space="preserve">Existing </w:t>
            </w:r>
          </w:p>
          <w:p w14:paraId="17CE7F40" w14:textId="77777777" w:rsidR="00AF0B20" w:rsidRPr="006942F2" w:rsidRDefault="00AF0B20" w:rsidP="00B75C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2F2">
              <w:rPr>
                <w:rFonts w:ascii="Times New Roman" w:hAnsi="Times New Roman"/>
                <w:b/>
                <w:sz w:val="24"/>
                <w:szCs w:val="24"/>
              </w:rPr>
              <w:t xml:space="preserve">Percent </w:t>
            </w:r>
          </w:p>
          <w:p w14:paraId="67F473DE" w14:textId="77777777" w:rsidR="00AF0B20" w:rsidRPr="006942F2" w:rsidRDefault="00AF0B20" w:rsidP="00B75C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2F2">
              <w:rPr>
                <w:rFonts w:ascii="Times New Roman" w:hAnsi="Times New Roman"/>
                <w:b/>
                <w:sz w:val="24"/>
                <w:szCs w:val="24"/>
              </w:rPr>
              <w:t>of Revenue</w:t>
            </w:r>
          </w:p>
        </w:tc>
        <w:tc>
          <w:tcPr>
            <w:tcW w:w="1424" w:type="dxa"/>
          </w:tcPr>
          <w:p w14:paraId="280DFFA4" w14:textId="77777777" w:rsidR="00AF0B20" w:rsidRPr="006942F2" w:rsidRDefault="00AF0B20" w:rsidP="00B75C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2F2">
              <w:rPr>
                <w:rFonts w:ascii="Times New Roman" w:hAnsi="Times New Roman"/>
                <w:b/>
                <w:sz w:val="24"/>
                <w:szCs w:val="24"/>
              </w:rPr>
              <w:t xml:space="preserve">Proposed </w:t>
            </w:r>
          </w:p>
          <w:p w14:paraId="3C14F0F3" w14:textId="77777777" w:rsidR="00AF0B20" w:rsidRPr="006942F2" w:rsidRDefault="00AF0B20" w:rsidP="00B75C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2F2">
              <w:rPr>
                <w:rFonts w:ascii="Times New Roman" w:hAnsi="Times New Roman"/>
                <w:b/>
                <w:sz w:val="24"/>
                <w:szCs w:val="24"/>
              </w:rPr>
              <w:t xml:space="preserve">Percent </w:t>
            </w:r>
          </w:p>
          <w:p w14:paraId="0A6C60DD" w14:textId="77777777" w:rsidR="00AF0B20" w:rsidRPr="006942F2" w:rsidRDefault="00AF0B20" w:rsidP="00B75C8D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942F2">
              <w:rPr>
                <w:rFonts w:ascii="Times New Roman" w:hAnsi="Times New Roman"/>
                <w:b/>
                <w:sz w:val="24"/>
                <w:szCs w:val="24"/>
              </w:rPr>
              <w:t>of Revenue</w:t>
            </w:r>
          </w:p>
        </w:tc>
      </w:tr>
      <w:tr w:rsidR="00AF0B20" w:rsidRPr="006942F2" w14:paraId="04C451D4" w14:textId="77777777" w:rsidTr="00B75C8D">
        <w:trPr>
          <w:trHeight w:val="272"/>
        </w:trPr>
        <w:tc>
          <w:tcPr>
            <w:tcW w:w="6940" w:type="dxa"/>
          </w:tcPr>
          <w:p w14:paraId="1A679088" w14:textId="77777777" w:rsidR="00AF0B20" w:rsidRPr="006942F2" w:rsidRDefault="00AF0B20" w:rsidP="00B75C8D">
            <w:pPr>
              <w:rPr>
                <w:rFonts w:ascii="Times New Roman" w:hAnsi="Times New Roman"/>
                <w:sz w:val="24"/>
                <w:szCs w:val="24"/>
              </w:rPr>
            </w:pPr>
            <w:r w:rsidRPr="006942F2">
              <w:rPr>
                <w:rFonts w:ascii="Times New Roman" w:hAnsi="Times New Roman"/>
                <w:sz w:val="24"/>
                <w:szCs w:val="24"/>
              </w:rPr>
              <w:t>All Property Tax Allocation Categories</w:t>
            </w:r>
          </w:p>
        </w:tc>
        <w:tc>
          <w:tcPr>
            <w:tcW w:w="1371" w:type="dxa"/>
          </w:tcPr>
          <w:p w14:paraId="12206C14" w14:textId="77777777" w:rsidR="00AF0B20" w:rsidRPr="006942F2" w:rsidRDefault="00AF0B20" w:rsidP="00B75C8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42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24" w:type="dxa"/>
          </w:tcPr>
          <w:p w14:paraId="00DEF75D" w14:textId="77777777" w:rsidR="00AF0B20" w:rsidRPr="006942F2" w:rsidRDefault="00AF0B20" w:rsidP="00B75C8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42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0B20" w:rsidRPr="006942F2" w14:paraId="0164C7A9" w14:textId="77777777" w:rsidTr="00B75C8D">
        <w:trPr>
          <w:trHeight w:val="564"/>
        </w:trPr>
        <w:tc>
          <w:tcPr>
            <w:tcW w:w="6940" w:type="dxa"/>
          </w:tcPr>
          <w:p w14:paraId="7A83D77A" w14:textId="77777777" w:rsidR="00AF0B20" w:rsidRPr="006942F2" w:rsidRDefault="00AF0B20" w:rsidP="00B75C8D">
            <w:pPr>
              <w:rPr>
                <w:rFonts w:ascii="Times New Roman" w:hAnsi="Times New Roman"/>
                <w:sz w:val="24"/>
                <w:szCs w:val="24"/>
              </w:rPr>
            </w:pPr>
            <w:r w:rsidRPr="006942F2">
              <w:rPr>
                <w:rFonts w:ascii="Times New Roman" w:hAnsi="Times New Roman"/>
                <w:sz w:val="24"/>
                <w:szCs w:val="24"/>
              </w:rPr>
              <w:t xml:space="preserve">1% Allocation Type: </w:t>
            </w:r>
          </w:p>
          <w:p w14:paraId="2EEE6821" w14:textId="77777777" w:rsidR="00AF0B20" w:rsidRPr="006942F2" w:rsidRDefault="00AF0B20" w:rsidP="00B75C8D">
            <w:pPr>
              <w:rPr>
                <w:rFonts w:ascii="Times New Roman" w:hAnsi="Times New Roman"/>
                <w:sz w:val="24"/>
                <w:szCs w:val="24"/>
              </w:rPr>
            </w:pPr>
            <w:r w:rsidRPr="006942F2">
              <w:rPr>
                <w:rFonts w:ascii="Times New Roman" w:hAnsi="Times New Roman"/>
                <w:sz w:val="24"/>
                <w:szCs w:val="24"/>
              </w:rPr>
              <w:t>Homesteads eligible for a credit under Ind. Code § 6-1.1-20.6-7.5.</w:t>
            </w:r>
          </w:p>
        </w:tc>
        <w:tc>
          <w:tcPr>
            <w:tcW w:w="1371" w:type="dxa"/>
          </w:tcPr>
          <w:p w14:paraId="0B1D7782" w14:textId="77777777" w:rsidR="00AF0B20" w:rsidRPr="006942F2" w:rsidRDefault="00AF0B20" w:rsidP="00B75C8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6942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24" w:type="dxa"/>
          </w:tcPr>
          <w:p w14:paraId="047E6E94" w14:textId="77777777" w:rsidR="00AF0B20" w:rsidRPr="006942F2" w:rsidRDefault="00AF0B20" w:rsidP="00B75C8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6942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0B20" w:rsidRPr="006942F2" w14:paraId="0C0EE31F" w14:textId="77777777" w:rsidTr="00B75C8D">
        <w:trPr>
          <w:trHeight w:val="826"/>
        </w:trPr>
        <w:tc>
          <w:tcPr>
            <w:tcW w:w="6940" w:type="dxa"/>
          </w:tcPr>
          <w:p w14:paraId="124C5219" w14:textId="77777777" w:rsidR="00AF0B20" w:rsidRPr="006942F2" w:rsidRDefault="00AF0B20" w:rsidP="00B75C8D">
            <w:pPr>
              <w:rPr>
                <w:rFonts w:ascii="Times New Roman" w:hAnsi="Times New Roman"/>
                <w:sz w:val="24"/>
                <w:szCs w:val="24"/>
              </w:rPr>
            </w:pPr>
            <w:r w:rsidRPr="006942F2">
              <w:rPr>
                <w:rFonts w:ascii="Times New Roman" w:hAnsi="Times New Roman"/>
                <w:sz w:val="24"/>
                <w:szCs w:val="24"/>
              </w:rPr>
              <w:t xml:space="preserve">2% Allocation Type </w:t>
            </w:r>
          </w:p>
          <w:p w14:paraId="14F6494D" w14:textId="77777777" w:rsidR="00AF0B20" w:rsidRPr="006942F2" w:rsidRDefault="00AF0B20" w:rsidP="00B75C8D">
            <w:pPr>
              <w:rPr>
                <w:rFonts w:ascii="Times New Roman" w:hAnsi="Times New Roman"/>
                <w:sz w:val="24"/>
                <w:szCs w:val="24"/>
              </w:rPr>
            </w:pPr>
            <w:r w:rsidRPr="006942F2">
              <w:rPr>
                <w:rFonts w:ascii="Times New Roman" w:hAnsi="Times New Roman"/>
                <w:sz w:val="24"/>
                <w:szCs w:val="24"/>
              </w:rPr>
              <w:t>Residential property, agricultural land, long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42F2">
              <w:rPr>
                <w:rFonts w:ascii="Times New Roman" w:hAnsi="Times New Roman"/>
                <w:sz w:val="24"/>
                <w:szCs w:val="24"/>
              </w:rPr>
              <w:t xml:space="preserve">term care property, and other tangible property eligible for a credit under Ind. Code § 6-1.1-20.6-7.5. </w:t>
            </w:r>
          </w:p>
        </w:tc>
        <w:tc>
          <w:tcPr>
            <w:tcW w:w="1371" w:type="dxa"/>
          </w:tcPr>
          <w:p w14:paraId="4766C123" w14:textId="77777777" w:rsidR="00AF0B20" w:rsidRPr="006942F2" w:rsidRDefault="00AF0B20" w:rsidP="00B75C8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42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24" w:type="dxa"/>
          </w:tcPr>
          <w:p w14:paraId="4C0C39B6" w14:textId="77777777" w:rsidR="00AF0B20" w:rsidRPr="006942F2" w:rsidRDefault="00AF0B20" w:rsidP="00B75C8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42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0B20" w:rsidRPr="006942F2" w14:paraId="52806D23" w14:textId="77777777" w:rsidTr="00B75C8D">
        <w:trPr>
          <w:trHeight w:val="836"/>
        </w:trPr>
        <w:tc>
          <w:tcPr>
            <w:tcW w:w="6940" w:type="dxa"/>
          </w:tcPr>
          <w:p w14:paraId="322BD43C" w14:textId="77777777" w:rsidR="00AF0B20" w:rsidRPr="006942F2" w:rsidRDefault="00AF0B20" w:rsidP="00B75C8D">
            <w:pPr>
              <w:rPr>
                <w:rFonts w:ascii="Times New Roman" w:hAnsi="Times New Roman"/>
                <w:sz w:val="24"/>
                <w:szCs w:val="24"/>
              </w:rPr>
            </w:pPr>
            <w:r w:rsidRPr="006942F2">
              <w:rPr>
                <w:rFonts w:ascii="Times New Roman" w:hAnsi="Times New Roman"/>
                <w:sz w:val="24"/>
                <w:szCs w:val="24"/>
              </w:rPr>
              <w:t xml:space="preserve">3% Allocation Type </w:t>
            </w:r>
          </w:p>
          <w:p w14:paraId="5679CF92" w14:textId="77777777" w:rsidR="00AF0B20" w:rsidRPr="006942F2" w:rsidRDefault="00AF0B20" w:rsidP="00B75C8D">
            <w:pPr>
              <w:rPr>
                <w:rFonts w:ascii="Times New Roman" w:hAnsi="Times New Roman"/>
                <w:sz w:val="24"/>
                <w:szCs w:val="24"/>
              </w:rPr>
            </w:pPr>
            <w:r w:rsidRPr="006942F2">
              <w:rPr>
                <w:rFonts w:ascii="Times New Roman" w:hAnsi="Times New Roman"/>
                <w:sz w:val="24"/>
                <w:szCs w:val="24"/>
              </w:rPr>
              <w:t>Nonresidential real property, personal property, and other tangible property eligible for a credit under Ind. Code § 6-1.1-20.6-7.5.</w:t>
            </w:r>
          </w:p>
        </w:tc>
        <w:tc>
          <w:tcPr>
            <w:tcW w:w="1371" w:type="dxa"/>
          </w:tcPr>
          <w:p w14:paraId="1A1D02B6" w14:textId="77777777" w:rsidR="00AF0B20" w:rsidRPr="006942F2" w:rsidRDefault="00AF0B20" w:rsidP="00B75C8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42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24" w:type="dxa"/>
          </w:tcPr>
          <w:p w14:paraId="65FDBE75" w14:textId="77777777" w:rsidR="00AF0B20" w:rsidRPr="006942F2" w:rsidRDefault="00AF0B20" w:rsidP="00B75C8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42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0B20" w:rsidRPr="006942F2" w14:paraId="445ABE28" w14:textId="77777777" w:rsidTr="00B75C8D">
        <w:trPr>
          <w:trHeight w:val="282"/>
        </w:trPr>
        <w:tc>
          <w:tcPr>
            <w:tcW w:w="6940" w:type="dxa"/>
          </w:tcPr>
          <w:p w14:paraId="23E7C15E" w14:textId="77777777" w:rsidR="00AF0B20" w:rsidRPr="006942F2" w:rsidRDefault="00AF0B20" w:rsidP="00B75C8D">
            <w:pPr>
              <w:rPr>
                <w:rFonts w:ascii="Times New Roman" w:hAnsi="Times New Roman"/>
                <w:sz w:val="24"/>
                <w:szCs w:val="24"/>
              </w:rPr>
            </w:pPr>
            <w:r w:rsidRPr="006942F2">
              <w:rPr>
                <w:rFonts w:ascii="Times New Roman" w:hAnsi="Times New Roman"/>
                <w:sz w:val="24"/>
                <w:szCs w:val="24"/>
              </w:rPr>
              <w:t>Residential property, as defined in Ind. Code § 6-1.1-20.6-4.</w:t>
            </w:r>
          </w:p>
        </w:tc>
        <w:tc>
          <w:tcPr>
            <w:tcW w:w="1371" w:type="dxa"/>
          </w:tcPr>
          <w:p w14:paraId="0CF1EAF9" w14:textId="77777777" w:rsidR="00AF0B20" w:rsidRPr="006942F2" w:rsidRDefault="00AF0B20" w:rsidP="00B75C8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42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24" w:type="dxa"/>
          </w:tcPr>
          <w:p w14:paraId="37D0124C" w14:textId="77777777" w:rsidR="00AF0B20" w:rsidRPr="006942F2" w:rsidRDefault="00AF0B20" w:rsidP="00B75C8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42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14:paraId="683DE87C" w14:textId="77777777" w:rsidR="00AF0B20" w:rsidRDefault="00AF0B20" w:rsidP="00AF0B20">
      <w:pPr>
        <w:rPr>
          <w:rFonts w:ascii="Times New Roman" w:hAnsi="Times New Roman"/>
          <w:sz w:val="24"/>
          <w:szCs w:val="24"/>
        </w:rPr>
      </w:pPr>
    </w:p>
    <w:p w14:paraId="2A0CC2BA" w14:textId="77777777" w:rsidR="00AF0B20" w:rsidRPr="002C5AF6" w:rsidRDefault="00AF0B20" w:rsidP="00AF0B20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SECTION 3: ALLOCATION OF PUBLIC SAFETY REVENUE TO PUBLIC SAFETY ACCESS POINT (“PSAP”)</w:t>
      </w:r>
    </w:p>
    <w:p w14:paraId="46971FB4" w14:textId="77777777" w:rsidR="00AF0B20" w:rsidRDefault="00AF0B20" w:rsidP="00AF0B20">
      <w:pPr>
        <w:rPr>
          <w:rFonts w:ascii="Times New Roman" w:hAnsi="Times New Roman"/>
          <w:sz w:val="24"/>
          <w:szCs w:val="24"/>
        </w:rPr>
      </w:pPr>
    </w:p>
    <w:p w14:paraId="2EA816D5" w14:textId="77777777" w:rsidR="00AF0B20" w:rsidRPr="006942F2" w:rsidRDefault="00AF0B20" w:rsidP="00AF0B20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090" w:type="dxa"/>
        <w:tblInd w:w="-5" w:type="dxa"/>
        <w:tblLook w:val="04A0" w:firstRow="1" w:lastRow="0" w:firstColumn="1" w:lastColumn="0" w:noHBand="0" w:noVBand="1"/>
      </w:tblPr>
      <w:tblGrid>
        <w:gridCol w:w="4230"/>
        <w:gridCol w:w="2340"/>
        <w:gridCol w:w="2520"/>
      </w:tblGrid>
      <w:tr w:rsidR="00AF0B20" w:rsidRPr="006942F2" w14:paraId="7A66F847" w14:textId="77777777" w:rsidTr="00B75C8D">
        <w:tc>
          <w:tcPr>
            <w:tcW w:w="4230" w:type="dxa"/>
            <w:vAlign w:val="bottom"/>
          </w:tcPr>
          <w:p w14:paraId="0180A613" w14:textId="77777777" w:rsidR="00AF0B20" w:rsidRPr="006942F2" w:rsidRDefault="00AF0B20" w:rsidP="00B75C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2F2">
              <w:rPr>
                <w:rFonts w:ascii="Times New Roman" w:hAnsi="Times New Roman"/>
                <w:b/>
                <w:sz w:val="24"/>
                <w:szCs w:val="24"/>
              </w:rPr>
              <w:t>Allocation Rate Category</w:t>
            </w:r>
          </w:p>
        </w:tc>
        <w:tc>
          <w:tcPr>
            <w:tcW w:w="2340" w:type="dxa"/>
            <w:vAlign w:val="bottom"/>
          </w:tcPr>
          <w:p w14:paraId="3F6FDF53" w14:textId="77777777" w:rsidR="00AF0B20" w:rsidRPr="006942F2" w:rsidRDefault="00AF0B20" w:rsidP="00B75C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2F2">
              <w:rPr>
                <w:rFonts w:ascii="Times New Roman" w:hAnsi="Times New Roman"/>
                <w:b/>
                <w:sz w:val="24"/>
                <w:szCs w:val="24"/>
              </w:rPr>
              <w:t>Existing LIT Rate</w:t>
            </w:r>
          </w:p>
        </w:tc>
        <w:tc>
          <w:tcPr>
            <w:tcW w:w="2520" w:type="dxa"/>
            <w:vAlign w:val="bottom"/>
          </w:tcPr>
          <w:p w14:paraId="41D74460" w14:textId="77777777" w:rsidR="00AF0B20" w:rsidRPr="006942F2" w:rsidRDefault="00AF0B20" w:rsidP="00B75C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2F2">
              <w:rPr>
                <w:rFonts w:ascii="Times New Roman" w:hAnsi="Times New Roman"/>
                <w:b/>
                <w:sz w:val="24"/>
                <w:szCs w:val="24"/>
              </w:rPr>
              <w:t>Proposed LIT Rate</w:t>
            </w:r>
          </w:p>
        </w:tc>
      </w:tr>
      <w:tr w:rsidR="00AF0B20" w:rsidRPr="006942F2" w14:paraId="1F53D743" w14:textId="77777777" w:rsidTr="00B75C8D">
        <w:tc>
          <w:tcPr>
            <w:tcW w:w="4230" w:type="dxa"/>
          </w:tcPr>
          <w:p w14:paraId="5B4FC117" w14:textId="77777777" w:rsidR="00AF0B20" w:rsidRPr="006942F2" w:rsidRDefault="00AF0B20" w:rsidP="00B75C8D">
            <w:pPr>
              <w:rPr>
                <w:rFonts w:ascii="Times New Roman" w:hAnsi="Times New Roman"/>
                <w:sz w:val="24"/>
                <w:szCs w:val="24"/>
              </w:rPr>
            </w:pPr>
            <w:r w:rsidRPr="006942F2">
              <w:rPr>
                <w:rFonts w:ascii="Times New Roman" w:hAnsi="Times New Roman"/>
                <w:sz w:val="24"/>
                <w:szCs w:val="24"/>
              </w:rPr>
              <w:t>Public Safety (Ind. Code § 6-3.6-6)</w:t>
            </w:r>
          </w:p>
        </w:tc>
        <w:tc>
          <w:tcPr>
            <w:tcW w:w="2340" w:type="dxa"/>
          </w:tcPr>
          <w:p w14:paraId="1DAF6E97" w14:textId="77777777" w:rsidR="00AF0B20" w:rsidRPr="006942F2" w:rsidRDefault="00AF0B20" w:rsidP="00B75C8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0.0500</w:t>
            </w:r>
            <w:r w:rsidRPr="006942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20" w:type="dxa"/>
          </w:tcPr>
          <w:p w14:paraId="6E326B86" w14:textId="77777777" w:rsidR="00AF0B20" w:rsidRPr="006942F2" w:rsidRDefault="00AF0B20" w:rsidP="00B75C8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0.0500</w:t>
            </w:r>
            <w:r w:rsidRPr="006942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14:paraId="6E75E840" w14:textId="77777777" w:rsidR="00AF0B20" w:rsidRPr="006942F2" w:rsidRDefault="00AF0B20" w:rsidP="00AF0B20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2340"/>
        <w:gridCol w:w="2520"/>
      </w:tblGrid>
      <w:tr w:rsidR="00AF0B20" w:rsidRPr="006942F2" w14:paraId="28D3B657" w14:textId="77777777" w:rsidTr="00B75C8D">
        <w:tc>
          <w:tcPr>
            <w:tcW w:w="4225" w:type="dxa"/>
          </w:tcPr>
          <w:p w14:paraId="3C5BC0F5" w14:textId="77777777" w:rsidR="00AF0B20" w:rsidRPr="006942F2" w:rsidRDefault="00AF0B20" w:rsidP="00B75C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2F2">
              <w:rPr>
                <w:rFonts w:ascii="Times New Roman" w:hAnsi="Times New Roman"/>
                <w:b/>
                <w:sz w:val="24"/>
                <w:szCs w:val="24"/>
              </w:rPr>
              <w:t>Local Income Tax Type</w:t>
            </w:r>
          </w:p>
        </w:tc>
        <w:tc>
          <w:tcPr>
            <w:tcW w:w="2340" w:type="dxa"/>
          </w:tcPr>
          <w:p w14:paraId="27064B73" w14:textId="77777777" w:rsidR="00AF0B20" w:rsidRPr="006942F2" w:rsidRDefault="00AF0B20" w:rsidP="00B75C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2F2">
              <w:rPr>
                <w:rFonts w:ascii="Times New Roman" w:hAnsi="Times New Roman"/>
                <w:b/>
                <w:sz w:val="24"/>
                <w:szCs w:val="24"/>
              </w:rPr>
              <w:t>Existing PSAP Rate</w:t>
            </w:r>
          </w:p>
        </w:tc>
        <w:tc>
          <w:tcPr>
            <w:tcW w:w="2520" w:type="dxa"/>
          </w:tcPr>
          <w:p w14:paraId="37894974" w14:textId="77777777" w:rsidR="00AF0B20" w:rsidRPr="006942F2" w:rsidRDefault="00AF0B20" w:rsidP="00B75C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2F2">
              <w:rPr>
                <w:rFonts w:ascii="Times New Roman" w:hAnsi="Times New Roman"/>
                <w:b/>
                <w:sz w:val="24"/>
                <w:szCs w:val="24"/>
              </w:rPr>
              <w:t>Proposed PSAP Rate</w:t>
            </w:r>
          </w:p>
        </w:tc>
      </w:tr>
      <w:tr w:rsidR="00AF0B20" w:rsidRPr="006942F2" w14:paraId="1F82625F" w14:textId="77777777" w:rsidTr="00B75C8D">
        <w:tc>
          <w:tcPr>
            <w:tcW w:w="4225" w:type="dxa"/>
          </w:tcPr>
          <w:p w14:paraId="5D070138" w14:textId="77777777" w:rsidR="00AF0B20" w:rsidRPr="006942F2" w:rsidRDefault="00AF0B20" w:rsidP="00B75C8D">
            <w:pPr>
              <w:rPr>
                <w:rFonts w:ascii="Times New Roman" w:hAnsi="Times New Roman"/>
                <w:sz w:val="24"/>
                <w:szCs w:val="24"/>
              </w:rPr>
            </w:pPr>
            <w:r w:rsidRPr="006942F2">
              <w:rPr>
                <w:rFonts w:ascii="Times New Roman" w:hAnsi="Times New Roman"/>
                <w:sz w:val="24"/>
                <w:szCs w:val="24"/>
              </w:rPr>
              <w:t>Public Safety Access Point Rate</w:t>
            </w:r>
          </w:p>
        </w:tc>
        <w:tc>
          <w:tcPr>
            <w:tcW w:w="2340" w:type="dxa"/>
          </w:tcPr>
          <w:p w14:paraId="70C6A479" w14:textId="77777777" w:rsidR="00AF0B20" w:rsidRPr="006942F2" w:rsidRDefault="00AF0B20" w:rsidP="00B75C8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0.0500</w:t>
            </w:r>
            <w:r w:rsidRPr="006942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20" w:type="dxa"/>
          </w:tcPr>
          <w:p w14:paraId="0FA09BB7" w14:textId="77777777" w:rsidR="00AF0B20" w:rsidRPr="006942F2" w:rsidRDefault="00AF0B20" w:rsidP="00B75C8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0.0500</w:t>
            </w:r>
            <w:r w:rsidRPr="006942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14:paraId="68049466" w14:textId="77777777" w:rsidR="00AF0B20" w:rsidRDefault="00AF0B20" w:rsidP="00AF0B20">
      <w:pPr>
        <w:rPr>
          <w:rFonts w:ascii="Times New Roman" w:hAnsi="Times New Roman"/>
          <w:b/>
          <w:sz w:val="24"/>
          <w:szCs w:val="24"/>
        </w:rPr>
      </w:pPr>
    </w:p>
    <w:p w14:paraId="12BE0E9C" w14:textId="0D5686AE" w:rsidR="00AF0B20" w:rsidRPr="006942F2" w:rsidRDefault="00AF0B20" w:rsidP="00AF0B20">
      <w:pPr>
        <w:rPr>
          <w:rFonts w:ascii="Times New Roman" w:hAnsi="Times New Roman"/>
          <w:sz w:val="24"/>
          <w:szCs w:val="24"/>
        </w:rPr>
      </w:pPr>
      <w:r w:rsidRPr="006942F2">
        <w:rPr>
          <w:rFonts w:ascii="Times New Roman" w:hAnsi="Times New Roman"/>
          <w:b/>
          <w:sz w:val="24"/>
          <w:szCs w:val="24"/>
        </w:rPr>
        <w:t xml:space="preserve">BE IT FURTHER ORDAINED </w:t>
      </w:r>
      <w:r w:rsidRPr="006942F2">
        <w:rPr>
          <w:rFonts w:ascii="Times New Roman" w:hAnsi="Times New Roman"/>
          <w:sz w:val="24"/>
          <w:szCs w:val="24"/>
        </w:rPr>
        <w:t>that a public hearing was held on the proposed local income tax rate modifications on</w:t>
      </w:r>
      <w:r w:rsidR="00AC2903">
        <w:rPr>
          <w:rFonts w:ascii="Times New Roman" w:hAnsi="Times New Roman"/>
          <w:sz w:val="24"/>
          <w:szCs w:val="24"/>
        </w:rPr>
        <w:t xml:space="preserve"> September 17, </w:t>
      </w:r>
      <w:r w:rsidRPr="006942F2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6942F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2F2">
        <w:rPr>
          <w:rFonts w:ascii="Times New Roman" w:hAnsi="Times New Roman"/>
          <w:sz w:val="24"/>
          <w:szCs w:val="24"/>
        </w:rPr>
        <w:t xml:space="preserve">Proper notice of the public hearing was provided pursuant to Ind. Code § 5-3-1. </w:t>
      </w:r>
    </w:p>
    <w:p w14:paraId="20432C53" w14:textId="77777777" w:rsidR="00AF0B20" w:rsidRPr="006942F2" w:rsidRDefault="00AF0B20" w:rsidP="00AF0B20">
      <w:pPr>
        <w:rPr>
          <w:rFonts w:ascii="Times New Roman" w:hAnsi="Times New Roman"/>
          <w:sz w:val="24"/>
          <w:szCs w:val="24"/>
        </w:rPr>
      </w:pPr>
    </w:p>
    <w:p w14:paraId="4C0821BA" w14:textId="4E0AFEBA" w:rsidR="00AF0B20" w:rsidRDefault="00AF0B20" w:rsidP="00AF0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Introduced and filed on this </w:t>
      </w:r>
      <w:r w:rsidR="00AC2903">
        <w:rPr>
          <w:rFonts w:ascii="Times New Roman" w:hAnsi="Times New Roman"/>
          <w:sz w:val="24"/>
          <w:szCs w:val="24"/>
        </w:rPr>
        <w:t>20</w:t>
      </w:r>
      <w:r w:rsidR="00AC2903" w:rsidRPr="00AC2903">
        <w:rPr>
          <w:rFonts w:ascii="Times New Roman" w:hAnsi="Times New Roman"/>
          <w:sz w:val="24"/>
          <w:szCs w:val="24"/>
          <w:vertAlign w:val="superscript"/>
        </w:rPr>
        <w:t>th</w:t>
      </w:r>
      <w:r w:rsidR="00AC29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day of </w:t>
      </w:r>
      <w:r w:rsidR="00AC2903">
        <w:rPr>
          <w:rFonts w:ascii="Times New Roman" w:hAnsi="Times New Roman"/>
          <w:sz w:val="24"/>
          <w:szCs w:val="24"/>
        </w:rPr>
        <w:t xml:space="preserve">August, </w:t>
      </w:r>
      <w:r>
        <w:rPr>
          <w:rFonts w:ascii="Times New Roman" w:hAnsi="Times New Roman"/>
          <w:sz w:val="24"/>
          <w:szCs w:val="24"/>
        </w:rPr>
        <w:t xml:space="preserve">2024.  </w:t>
      </w:r>
      <w:r w:rsidRPr="006942F2">
        <w:rPr>
          <w:rFonts w:ascii="Times New Roman" w:hAnsi="Times New Roman"/>
          <w:sz w:val="24"/>
          <w:szCs w:val="24"/>
        </w:rPr>
        <w:t xml:space="preserve">Duly adopted by the following vote of the members of said </w:t>
      </w:r>
      <w:r>
        <w:rPr>
          <w:rFonts w:ascii="Times New Roman" w:hAnsi="Times New Roman"/>
          <w:sz w:val="24"/>
          <w:szCs w:val="24"/>
        </w:rPr>
        <w:t xml:space="preserve">Hendricks County Council </w:t>
      </w:r>
      <w:r w:rsidRPr="006942F2">
        <w:rPr>
          <w:rFonts w:ascii="Times New Roman" w:hAnsi="Times New Roman"/>
          <w:sz w:val="24"/>
          <w:szCs w:val="24"/>
        </w:rPr>
        <w:t>this</w:t>
      </w:r>
      <w:r w:rsidR="00AC2903">
        <w:rPr>
          <w:rFonts w:ascii="Times New Roman" w:hAnsi="Times New Roman"/>
          <w:sz w:val="24"/>
          <w:szCs w:val="24"/>
        </w:rPr>
        <w:t xml:space="preserve"> 17</w:t>
      </w:r>
      <w:r w:rsidR="00AC2903" w:rsidRPr="00AC2903">
        <w:rPr>
          <w:rFonts w:ascii="Times New Roman" w:hAnsi="Times New Roman"/>
          <w:sz w:val="24"/>
          <w:szCs w:val="24"/>
          <w:vertAlign w:val="superscript"/>
        </w:rPr>
        <w:t>th</w:t>
      </w:r>
      <w:r w:rsidR="00AC29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day of</w:t>
      </w:r>
      <w:r w:rsidR="00AC2903">
        <w:rPr>
          <w:rFonts w:ascii="Times New Roman" w:hAnsi="Times New Roman"/>
          <w:sz w:val="24"/>
          <w:szCs w:val="24"/>
        </w:rPr>
        <w:t xml:space="preserve"> September, </w:t>
      </w:r>
      <w:r>
        <w:rPr>
          <w:rFonts w:ascii="Times New Roman" w:hAnsi="Times New Roman"/>
          <w:sz w:val="24"/>
          <w:szCs w:val="24"/>
        </w:rPr>
        <w:t xml:space="preserve">2024.  </w:t>
      </w:r>
    </w:p>
    <w:p w14:paraId="4CC82435" w14:textId="77777777" w:rsidR="0056567A" w:rsidRPr="006942F2" w:rsidRDefault="0056567A" w:rsidP="0056567A">
      <w:pPr>
        <w:rPr>
          <w:rFonts w:ascii="Times New Roman" w:hAnsi="Times New Roman"/>
          <w:b/>
          <w:sz w:val="24"/>
          <w:szCs w:val="24"/>
        </w:rPr>
      </w:pPr>
    </w:p>
    <w:p w14:paraId="456D302D" w14:textId="77777777" w:rsidR="00E57D3F" w:rsidRDefault="00E57D3F" w:rsidP="005656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HENDRICKS COUNTY COUNCIL</w:t>
      </w:r>
    </w:p>
    <w:p w14:paraId="4643A9C2" w14:textId="603D160C" w:rsidR="00E57D3F" w:rsidRDefault="00E57D3F" w:rsidP="0056567A">
      <w:pPr>
        <w:rPr>
          <w:rFonts w:ascii="Times New Roman" w:hAnsi="Times New Roman"/>
          <w:b/>
          <w:sz w:val="24"/>
          <w:szCs w:val="24"/>
        </w:rPr>
      </w:pPr>
    </w:p>
    <w:p w14:paraId="52C39337" w14:textId="11D208B8" w:rsidR="00E57D3F" w:rsidRPr="00E57D3F" w:rsidRDefault="00E57D3F" w:rsidP="0056567A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Attest:  Nancy L. Marsh, Auditor</w:t>
      </w:r>
    </w:p>
    <w:p w14:paraId="3360DA9C" w14:textId="77777777" w:rsidR="00E57D3F" w:rsidRDefault="00E57D3F" w:rsidP="0056567A">
      <w:pPr>
        <w:rPr>
          <w:rFonts w:ascii="Times New Roman" w:hAnsi="Times New Roman"/>
          <w:b/>
          <w:sz w:val="24"/>
          <w:szCs w:val="24"/>
        </w:rPr>
      </w:pPr>
    </w:p>
    <w:p w14:paraId="3521DAC0" w14:textId="3FB76659" w:rsidR="0056567A" w:rsidRDefault="0056567A" w:rsidP="0056567A">
      <w:pPr>
        <w:rPr>
          <w:rFonts w:ascii="Times New Roman" w:hAnsi="Times New Roman"/>
          <w:b/>
          <w:sz w:val="24"/>
          <w:szCs w:val="24"/>
        </w:rPr>
      </w:pPr>
      <w:r w:rsidRPr="006942F2">
        <w:rPr>
          <w:rFonts w:ascii="Times New Roman" w:hAnsi="Times New Roman"/>
          <w:b/>
          <w:sz w:val="24"/>
          <w:szCs w:val="24"/>
        </w:rPr>
        <w:tab/>
      </w:r>
    </w:p>
    <w:p w14:paraId="6687437E" w14:textId="77777777" w:rsidR="00AF0B20" w:rsidRDefault="00AF0B20" w:rsidP="0056567A">
      <w:pPr>
        <w:rPr>
          <w:rFonts w:ascii="Times New Roman" w:hAnsi="Times New Roman"/>
          <w:b/>
          <w:sz w:val="24"/>
          <w:szCs w:val="24"/>
        </w:rPr>
      </w:pPr>
    </w:p>
    <w:p w14:paraId="2CC20A2A" w14:textId="22A2932D" w:rsidR="00AF0B20" w:rsidRPr="00AF0B20" w:rsidRDefault="00AF0B20" w:rsidP="00AF0B20">
      <w:pPr>
        <w:jc w:val="both"/>
        <w:rPr>
          <w:rFonts w:ascii="Times New Roman" w:hAnsi="Times New Roman"/>
          <w:bCs/>
          <w:sz w:val="24"/>
          <w:szCs w:val="24"/>
        </w:rPr>
      </w:pPr>
      <w:r w:rsidRPr="00AF0B20">
        <w:rPr>
          <w:rFonts w:ascii="Times New Roman" w:hAnsi="Times New Roman"/>
          <w:bCs/>
          <w:sz w:val="24"/>
          <w:szCs w:val="24"/>
        </w:rPr>
        <w:t>After the public hearing, the</w:t>
      </w:r>
      <w:r>
        <w:rPr>
          <w:rFonts w:ascii="Times New Roman" w:hAnsi="Times New Roman"/>
          <w:bCs/>
          <w:sz w:val="24"/>
          <w:szCs w:val="24"/>
        </w:rPr>
        <w:t xml:space="preserve"> Hendricks County Council </w:t>
      </w:r>
      <w:r w:rsidRPr="00AF0B20">
        <w:rPr>
          <w:rFonts w:ascii="Times New Roman" w:hAnsi="Times New Roman"/>
          <w:bCs/>
          <w:sz w:val="24"/>
          <w:szCs w:val="24"/>
        </w:rPr>
        <w:t xml:space="preserve">may take action on the proposed ordinance. There is no remonstrance opportunity on any action taken on the proposed ordinance. </w:t>
      </w:r>
    </w:p>
    <w:p w14:paraId="20B27520" w14:textId="39E6E00C" w:rsidR="00AF0B20" w:rsidRPr="00AF0B20" w:rsidRDefault="00AF0B20" w:rsidP="00AF0B20">
      <w:pPr>
        <w:jc w:val="both"/>
        <w:rPr>
          <w:rFonts w:ascii="Times New Roman" w:hAnsi="Times New Roman"/>
          <w:bCs/>
          <w:sz w:val="24"/>
          <w:szCs w:val="24"/>
        </w:rPr>
      </w:pPr>
      <w:r w:rsidRPr="00AF0B20">
        <w:rPr>
          <w:rFonts w:ascii="Times New Roman" w:hAnsi="Times New Roman"/>
          <w:bCs/>
          <w:sz w:val="24"/>
          <w:szCs w:val="24"/>
        </w:rPr>
        <w:t>The public hearing identified above is the taxpayer’s opportunity to express concerns and ask questions on the proposed ordinance.</w:t>
      </w:r>
    </w:p>
    <w:p w14:paraId="79440844" w14:textId="77777777" w:rsidR="00AF0B20" w:rsidRPr="00AF0B20" w:rsidRDefault="00AF0B20" w:rsidP="00AF0B20">
      <w:pPr>
        <w:rPr>
          <w:rFonts w:ascii="Times New Roman" w:hAnsi="Times New Roman"/>
          <w:bCs/>
          <w:sz w:val="24"/>
          <w:szCs w:val="24"/>
        </w:rPr>
      </w:pPr>
    </w:p>
    <w:p w14:paraId="41FE0905" w14:textId="632F79EE" w:rsidR="00AF0B20" w:rsidRPr="00AF0B20" w:rsidRDefault="00AF0B20" w:rsidP="00AF0B20">
      <w:pPr>
        <w:rPr>
          <w:rFonts w:ascii="Times New Roman" w:hAnsi="Times New Roman"/>
          <w:bCs/>
          <w:sz w:val="24"/>
          <w:szCs w:val="24"/>
        </w:rPr>
      </w:pPr>
      <w:r w:rsidRPr="00AF0B20">
        <w:rPr>
          <w:rFonts w:ascii="Times New Roman" w:hAnsi="Times New Roman"/>
          <w:bCs/>
          <w:sz w:val="24"/>
          <w:szCs w:val="24"/>
        </w:rPr>
        <w:t>Dated this</w:t>
      </w:r>
      <w:r w:rsidR="00AC2903">
        <w:rPr>
          <w:rFonts w:ascii="Times New Roman" w:hAnsi="Times New Roman"/>
          <w:bCs/>
          <w:sz w:val="24"/>
          <w:szCs w:val="24"/>
        </w:rPr>
        <w:t xml:space="preserve"> 23</w:t>
      </w:r>
      <w:r w:rsidR="00AC2903" w:rsidRPr="00AC2903">
        <w:rPr>
          <w:rFonts w:ascii="Times New Roman" w:hAnsi="Times New Roman"/>
          <w:bCs/>
          <w:sz w:val="24"/>
          <w:szCs w:val="24"/>
          <w:vertAlign w:val="superscript"/>
        </w:rPr>
        <w:t>rd</w:t>
      </w:r>
      <w:r w:rsidR="00AC2903">
        <w:rPr>
          <w:rFonts w:ascii="Times New Roman" w:hAnsi="Times New Roman"/>
          <w:bCs/>
          <w:sz w:val="24"/>
          <w:szCs w:val="24"/>
        </w:rPr>
        <w:t xml:space="preserve"> </w:t>
      </w:r>
      <w:r w:rsidRPr="00AF0B20">
        <w:rPr>
          <w:rFonts w:ascii="Times New Roman" w:hAnsi="Times New Roman"/>
          <w:bCs/>
          <w:sz w:val="24"/>
          <w:szCs w:val="24"/>
        </w:rPr>
        <w:t>day of</w:t>
      </w:r>
      <w:r w:rsidR="00AC2903">
        <w:rPr>
          <w:rFonts w:ascii="Times New Roman" w:hAnsi="Times New Roman"/>
          <w:bCs/>
          <w:sz w:val="24"/>
          <w:szCs w:val="24"/>
        </w:rPr>
        <w:t xml:space="preserve"> August</w:t>
      </w:r>
      <w:r w:rsidRPr="00AF0B20">
        <w:rPr>
          <w:rFonts w:ascii="Times New Roman" w:hAnsi="Times New Roman"/>
          <w:bCs/>
          <w:sz w:val="24"/>
          <w:szCs w:val="24"/>
        </w:rPr>
        <w:t>, 20</w:t>
      </w:r>
      <w:r>
        <w:rPr>
          <w:rFonts w:ascii="Times New Roman" w:hAnsi="Times New Roman"/>
          <w:bCs/>
          <w:sz w:val="24"/>
          <w:szCs w:val="24"/>
        </w:rPr>
        <w:t>24</w:t>
      </w:r>
      <w:r w:rsidRPr="00AF0B20">
        <w:rPr>
          <w:rFonts w:ascii="Times New Roman" w:hAnsi="Times New Roman"/>
          <w:bCs/>
          <w:sz w:val="24"/>
          <w:szCs w:val="24"/>
        </w:rPr>
        <w:t>.</w:t>
      </w:r>
    </w:p>
    <w:p w14:paraId="0A64A5AB" w14:textId="77777777" w:rsidR="00AF0B20" w:rsidRPr="006942F2" w:rsidRDefault="00AF0B20" w:rsidP="0056567A">
      <w:pPr>
        <w:rPr>
          <w:rFonts w:ascii="Times New Roman" w:hAnsi="Times New Roman"/>
          <w:b/>
          <w:sz w:val="24"/>
          <w:szCs w:val="24"/>
        </w:rPr>
      </w:pPr>
    </w:p>
    <w:p w14:paraId="7E15710E" w14:textId="30633027" w:rsidR="0056567A" w:rsidRPr="00300780" w:rsidRDefault="0056567A" w:rsidP="0056567A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6942F2">
        <w:rPr>
          <w:rFonts w:ascii="Times New Roman" w:hAnsi="Times New Roman"/>
          <w:b/>
          <w:sz w:val="24"/>
          <w:szCs w:val="24"/>
        </w:rPr>
        <w:tab/>
      </w:r>
      <w:r w:rsidRPr="006942F2">
        <w:rPr>
          <w:rFonts w:ascii="Times New Roman" w:hAnsi="Times New Roman"/>
          <w:b/>
          <w:sz w:val="24"/>
          <w:szCs w:val="24"/>
        </w:rPr>
        <w:tab/>
      </w:r>
      <w:r w:rsidRPr="006942F2">
        <w:rPr>
          <w:rFonts w:ascii="Times New Roman" w:hAnsi="Times New Roman"/>
          <w:b/>
          <w:sz w:val="24"/>
          <w:szCs w:val="24"/>
        </w:rPr>
        <w:tab/>
      </w:r>
      <w:r w:rsidRPr="006942F2">
        <w:rPr>
          <w:rFonts w:ascii="Times New Roman" w:hAnsi="Times New Roman"/>
          <w:sz w:val="24"/>
          <w:szCs w:val="24"/>
        </w:rPr>
        <w:tab/>
      </w:r>
      <w:r w:rsidRPr="006942F2">
        <w:rPr>
          <w:rFonts w:ascii="Times New Roman" w:hAnsi="Times New Roman"/>
          <w:sz w:val="24"/>
          <w:szCs w:val="24"/>
        </w:rPr>
        <w:tab/>
      </w:r>
      <w:r w:rsidRPr="006942F2">
        <w:rPr>
          <w:rFonts w:ascii="Times New Roman" w:hAnsi="Times New Roman"/>
          <w:sz w:val="24"/>
          <w:szCs w:val="24"/>
        </w:rPr>
        <w:tab/>
      </w:r>
      <w:r w:rsidRPr="00300780">
        <w:rPr>
          <w:rFonts w:ascii="Times New Roman" w:hAnsi="Times New Roman"/>
          <w:b/>
          <w:bCs/>
          <w:sz w:val="24"/>
          <w:szCs w:val="24"/>
        </w:rPr>
        <w:t>HENDRICKS COUNTY COUNCIL</w:t>
      </w:r>
    </w:p>
    <w:sectPr w:rsidR="0056567A" w:rsidRPr="003007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D425D" w14:textId="77777777" w:rsidR="00416DA3" w:rsidRDefault="00416DA3" w:rsidP="007B3F44">
      <w:r>
        <w:separator/>
      </w:r>
    </w:p>
  </w:endnote>
  <w:endnote w:type="continuationSeparator" w:id="0">
    <w:p w14:paraId="5D8D1F10" w14:textId="77777777" w:rsidR="00416DA3" w:rsidRDefault="00416DA3" w:rsidP="007B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C17ED" w14:textId="77777777" w:rsidR="007B3F44" w:rsidRDefault="007B3F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D5861" w14:textId="77777777" w:rsidR="007B3F44" w:rsidRDefault="007B3F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538E9" w14:textId="77777777" w:rsidR="007B3F44" w:rsidRDefault="007B3F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F1B7A" w14:textId="77777777" w:rsidR="00416DA3" w:rsidRDefault="00416DA3" w:rsidP="007B3F44">
      <w:r>
        <w:separator/>
      </w:r>
    </w:p>
  </w:footnote>
  <w:footnote w:type="continuationSeparator" w:id="0">
    <w:p w14:paraId="14CE2972" w14:textId="77777777" w:rsidR="00416DA3" w:rsidRDefault="00416DA3" w:rsidP="007B3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31812" w14:textId="77777777" w:rsidR="007B3F44" w:rsidRDefault="007B3F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1514C" w14:textId="5914AAB9" w:rsidR="007B3F44" w:rsidRDefault="007B3F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067C2" w14:textId="77777777" w:rsidR="007B3F44" w:rsidRDefault="007B3F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B8"/>
    <w:rsid w:val="001500B8"/>
    <w:rsid w:val="002C20A4"/>
    <w:rsid w:val="002D0D55"/>
    <w:rsid w:val="00300780"/>
    <w:rsid w:val="003578E7"/>
    <w:rsid w:val="00416DA3"/>
    <w:rsid w:val="005179BB"/>
    <w:rsid w:val="0053685B"/>
    <w:rsid w:val="00544971"/>
    <w:rsid w:val="0056567A"/>
    <w:rsid w:val="007B3F44"/>
    <w:rsid w:val="00960FD6"/>
    <w:rsid w:val="00AC2903"/>
    <w:rsid w:val="00AF0B20"/>
    <w:rsid w:val="00BE6CFD"/>
    <w:rsid w:val="00C151E9"/>
    <w:rsid w:val="00C35057"/>
    <w:rsid w:val="00E57D3F"/>
    <w:rsid w:val="00EE61F7"/>
    <w:rsid w:val="00FD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6CE42"/>
  <w15:chartTrackingRefBased/>
  <w15:docId w15:val="{322FB958-4445-4FC4-BC41-8A8FB616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0B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6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3F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F4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B3F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F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3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 Email</dc:creator>
  <cp:keywords/>
  <dc:description/>
  <cp:lastModifiedBy>Nancy Marsh</cp:lastModifiedBy>
  <cp:revision>2</cp:revision>
  <dcterms:created xsi:type="dcterms:W3CDTF">2024-08-23T17:12:00Z</dcterms:created>
  <dcterms:modified xsi:type="dcterms:W3CDTF">2024-08-23T17:12:00Z</dcterms:modified>
</cp:coreProperties>
</file>