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20" w:rsidRDefault="003D6320">
      <w:pPr>
        <w:widowControl/>
        <w:jc w:val="center"/>
        <w:rPr>
          <w:b/>
          <w:bCs/>
        </w:rPr>
      </w:pPr>
    </w:p>
    <w:p w:rsidR="003D6320" w:rsidRDefault="003D6320">
      <w:pPr>
        <w:widowControl/>
        <w:jc w:val="center"/>
      </w:pPr>
      <w:r>
        <w:rPr>
          <w:b/>
          <w:bCs/>
        </w:rPr>
        <w:t xml:space="preserve">NOTICE OF </w:t>
      </w:r>
      <w:r w:rsidR="00825692">
        <w:rPr>
          <w:b/>
          <w:bCs/>
        </w:rPr>
        <w:t xml:space="preserve">PUBLIC </w:t>
      </w:r>
      <w:r>
        <w:rPr>
          <w:b/>
          <w:bCs/>
        </w:rPr>
        <w:t>HEARING ON AN ADDITIONAL APPROPRIATION OF THE PROCEEDS OF THE COUNTY’S GENERAL OBLIGATION BONDS</w:t>
      </w:r>
    </w:p>
    <w:p w:rsidR="003D6320" w:rsidRDefault="003D6320">
      <w:pPr>
        <w:widowControl/>
        <w:jc w:val="both"/>
      </w:pPr>
    </w:p>
    <w:p w:rsidR="003D6320" w:rsidRDefault="003D6320">
      <w:pPr>
        <w:widowControl/>
        <w:ind w:firstLine="720"/>
        <w:jc w:val="both"/>
      </w:pPr>
      <w:r>
        <w:t xml:space="preserve">Notice is hereby given to the residents and taxpayers of </w:t>
      </w:r>
      <w:r w:rsidR="00FC70B0">
        <w:t>Hendricks</w:t>
      </w:r>
      <w:r>
        <w:t xml:space="preserve"> County, Indiana (the “County”), that the </w:t>
      </w:r>
      <w:r w:rsidR="00FC70B0">
        <w:t>Hendricks</w:t>
      </w:r>
      <w:r>
        <w:t xml:space="preserve"> County Council will hold a public hearing sometime during its meeting commencing at </w:t>
      </w:r>
      <w:r w:rsidR="00933262">
        <w:t>9:00 a.m</w:t>
      </w:r>
      <w:r>
        <w:t xml:space="preserve">., local time, on </w:t>
      </w:r>
      <w:r w:rsidR="00933262">
        <w:t>September 17</w:t>
      </w:r>
      <w:r w:rsidR="009B42C2">
        <w:t>,</w:t>
      </w:r>
      <w:r>
        <w:t xml:space="preserve"> </w:t>
      </w:r>
      <w:r w:rsidR="003E7611">
        <w:t>202</w:t>
      </w:r>
      <w:r w:rsidR="00933262">
        <w:t>4</w:t>
      </w:r>
      <w:r>
        <w:t xml:space="preserve">, in the </w:t>
      </w:r>
      <w:r w:rsidR="00933262">
        <w:t>Hendricks County Government Center, 355 South Washington Street, Danville, Indiana</w:t>
      </w:r>
      <w:r>
        <w:t>, on the matter of appropriating the proceeds of the General Obligation Bonds</w:t>
      </w:r>
      <w:r w:rsidRPr="003E2984" w:rsidR="003E2984">
        <w:t xml:space="preserve"> </w:t>
      </w:r>
      <w:r>
        <w:t xml:space="preserve">(the “Bonds”) to be issued by the County for the purpose of </w:t>
      </w:r>
      <w:r w:rsidR="00FA3E2F">
        <w:t xml:space="preserve">financing the </w:t>
      </w:r>
      <w:r w:rsidR="00933262">
        <w:t>design, construction and equipping of a new County Highway Garage and any improvements related thereto (collectively, the “Project”)</w:t>
      </w:r>
      <w:r>
        <w:t xml:space="preserve">, together with all investment earnings on the proceeds of the Bonds.  The </w:t>
      </w:r>
      <w:r w:rsidR="002F1A5C">
        <w:t xml:space="preserve">principal </w:t>
      </w:r>
      <w:r>
        <w:t>amoun</w:t>
      </w:r>
      <w:r w:rsidR="0097648D">
        <w:t>t of the Bonds will not exceed $</w:t>
      </w:r>
      <w:r w:rsidR="0097648D">
        <w:t>19,051,000</w:t>
      </w:r>
      <w:r>
        <w:t>, plus any premium paid by the original purchasers of the Bonds.  Those proceeds and the investment earnings thereon will be used for the payment of the costs of the Project</w:t>
      </w:r>
      <w:r w:rsidR="00980AEB">
        <w:t xml:space="preserve"> and the costs of issuance of the Bonds</w:t>
      </w:r>
      <w:r>
        <w:t>.</w:t>
      </w:r>
    </w:p>
    <w:p w:rsidR="003D6320" w:rsidRDefault="003D6320">
      <w:pPr>
        <w:widowControl/>
        <w:ind w:firstLine="720"/>
        <w:jc w:val="both"/>
      </w:pPr>
    </w:p>
    <w:p w:rsidR="003D6320" w:rsidRDefault="003D6320">
      <w:pPr>
        <w:widowControl/>
        <w:ind w:firstLine="720"/>
        <w:jc w:val="both"/>
      </w:pPr>
      <w:r>
        <w:t>Such appropriation is in addition to any appropriation provided for in the existing budget and tax law.  Funds to cover the appropriation are to be provided from the proceeds of the Bonds, plus all investment earnings thereon.  At such public hearing, all persons shall have the right to appear and be heard on the necessity of the appropriation.</w:t>
      </w:r>
    </w:p>
    <w:p w:rsidR="003D6320" w:rsidRDefault="003D6320">
      <w:pPr>
        <w:widowControl/>
        <w:jc w:val="both"/>
      </w:pPr>
    </w:p>
    <w:p w:rsidR="003D6320" w:rsidRDefault="003D6320">
      <w:r>
        <w:tab/>
        <w:t xml:space="preserve">Dated: </w:t>
      </w:r>
      <w:r w:rsidR="003667A9">
        <w:t xml:space="preserve">September </w:t>
      </w:r>
      <w:r w:rsidR="009D4C1C">
        <w:t>5</w:t>
      </w:r>
      <w:r w:rsidR="00732131">
        <w:t xml:space="preserve">, </w:t>
      </w:r>
      <w:r w:rsidR="003E7611">
        <w:t>202</w:t>
      </w:r>
      <w:r w:rsidR="00114F1D">
        <w:t>4</w:t>
      </w:r>
      <w:r w:rsidR="00C46EB4">
        <w:t>.</w:t>
      </w:r>
      <w:bookmarkStart w:name="_GoBack" w:id="0"/>
      <w:bookmarkEnd w:id="0"/>
      <w:r>
        <w:t xml:space="preserve"> </w:t>
      </w:r>
      <w:r>
        <w:tab/>
      </w:r>
      <w:r>
        <w:tab/>
      </w:r>
      <w:r>
        <w:tab/>
      </w:r>
      <w:r w:rsidR="00FC70B0">
        <w:t>HENDRICKS</w:t>
      </w:r>
      <w:r>
        <w:t xml:space="preserve"> COUNTY, INDIANA</w:t>
      </w:r>
    </w:p>
    <w:p w:rsidR="003D6320" w:rsidRDefault="003D6320"/>
    <w:p w:rsidRPr="009D488E" w:rsidR="003D6320" w:rsidRDefault="003D6320">
      <w:r>
        <w:tab/>
      </w:r>
      <w:r>
        <w:tab/>
      </w:r>
      <w:r>
        <w:tab/>
      </w:r>
      <w:r>
        <w:tab/>
      </w:r>
      <w:r>
        <w:tab/>
      </w:r>
      <w:r>
        <w:tab/>
      </w:r>
      <w:r>
        <w:tab/>
      </w:r>
    </w:p>
    <w:p w:rsidR="003D6320" w:rsidRDefault="003D6320">
      <w:pPr>
        <w:rPr>
          <w:u w:val="single"/>
        </w:rPr>
      </w:pPr>
    </w:p>
    <w:p w:rsidR="00F1214F" w:rsidRDefault="00F1214F">
      <w:pPr>
        <w:jc w:val="center"/>
        <w:rPr>
          <w:b/>
        </w:rPr>
      </w:pPr>
    </w:p>
    <w:p w:rsidR="00F1214F" w:rsidRDefault="00F1214F">
      <w:pPr>
        <w:jc w:val="center"/>
        <w:rPr>
          <w:b/>
        </w:rPr>
      </w:pPr>
    </w:p>
    <w:p w:rsidR="00F1214F" w:rsidRDefault="00F1214F">
      <w:pPr>
        <w:jc w:val="center"/>
        <w:rPr>
          <w:b/>
        </w:rPr>
      </w:pPr>
    </w:p>
    <w:p w:rsidR="00F1214F" w:rsidRDefault="00F1214F">
      <w:pPr>
        <w:jc w:val="center"/>
        <w:rPr>
          <w:b/>
        </w:rPr>
      </w:pPr>
    </w:p>
    <w:p w:rsidR="003D6320" w:rsidRDefault="003D6320">
      <w:pPr>
        <w:jc w:val="center"/>
      </w:pPr>
      <w:r>
        <w:rPr>
          <w:b/>
        </w:rPr>
        <w:t xml:space="preserve">[PUBLISH ONE TIME IN </w:t>
      </w:r>
      <w:r w:rsidRPr="00FC70B0">
        <w:rPr>
          <w:b/>
          <w:u w:val="single"/>
        </w:rPr>
        <w:t xml:space="preserve">THE </w:t>
      </w:r>
      <w:r w:rsidR="00FC70B0">
        <w:rPr>
          <w:b/>
          <w:u w:val="single"/>
        </w:rPr>
        <w:t>REPUBLICAN</w:t>
      </w:r>
      <w:r>
        <w:rPr>
          <w:b/>
        </w:rPr>
        <w:t xml:space="preserve"> ON </w:t>
      </w:r>
      <w:r w:rsidR="003667A9">
        <w:rPr>
          <w:b/>
        </w:rPr>
        <w:t xml:space="preserve">SEPTEMBER </w:t>
      </w:r>
      <w:r w:rsidR="00A76FB3">
        <w:rPr>
          <w:b/>
        </w:rPr>
        <w:t>5</w:t>
      </w:r>
      <w:r w:rsidR="00732131">
        <w:rPr>
          <w:b/>
        </w:rPr>
        <w:t xml:space="preserve">, </w:t>
      </w:r>
      <w:r w:rsidR="003E7611">
        <w:rPr>
          <w:b/>
        </w:rPr>
        <w:t>202</w:t>
      </w:r>
      <w:r w:rsidR="00A76FB3">
        <w:rPr>
          <w:b/>
        </w:rPr>
        <w:t>4</w:t>
      </w:r>
      <w:r>
        <w:rPr>
          <w:b/>
        </w:rPr>
        <w:t>.]</w:t>
      </w:r>
    </w:p>
    <w:sectPr w:rsidR="003D6320">
      <w:footerReference w:type="default" r:id="rId7"/>
      <w:footerReference w:type="first" r:id="rId8"/>
      <w:pgSz w:w="12240" w:h="15840"/>
      <w:pgMar w:top="1440" w:right="1440" w:bottom="1440" w:left="1440" w:header="72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56" w:rsidRDefault="00A72956">
      <w:r>
        <w:separator/>
      </w:r>
    </w:p>
  </w:endnote>
  <w:endnote w:type="continuationSeparator" w:id="0">
    <w:p w:rsidR="00A72956" w:rsidRDefault="00A7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20" w:rsidRDefault="003D6320">
    <w:pPr>
      <w:spacing w:line="240" w:lineRule="exact"/>
    </w:pPr>
  </w:p>
  <w:p w:rsidR="003D6320" w:rsidRDefault="003D6320">
    <w:pPr>
      <w:jc w:val="both"/>
    </w:pPr>
    <w:r>
      <w:rPr>
        <w:sz w:val="14"/>
        <w:szCs w:val="14"/>
      </w:rPr>
      <w:t>INDS01   KEG   496205v1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20" w:rsidRDefault="00FE5EA2">
    <w:pPr>
      <w:pStyle w:val="Footer"/>
      <w:rPr>
        <w:sz w:val="16"/>
        <w:szCs w:val="16"/>
      </w:rPr>
    </w:pPr>
    <w:proofErr w:type="spellStart"/>
    <w:r>
      <w:rPr>
        <w:sz w:val="16"/>
        <w:szCs w:val="16"/>
      </w:rPr>
      <w:t>D</w:t>
    </w:r>
    <w:r w:rsidR="00490EEB">
      <w:rPr>
        <w:sz w:val="16"/>
        <w:szCs w:val="16"/>
      </w:rPr>
      <w:t>MS</w:t>
    </w:r>
    <w:proofErr w:type="spellEnd"/>
    <w:r w:rsidR="00490EEB">
      <w:rPr>
        <w:sz w:val="16"/>
        <w:szCs w:val="16"/>
      </w:rPr>
      <w:t xml:space="preserve"> </w:t>
    </w:r>
    <w:proofErr w:type="spellStart"/>
    <w:r w:rsidR="00C46EB4">
      <w:rPr>
        <w:sz w:val="16"/>
        <w:szCs w:val="16"/>
      </w:rPr>
      <w:t>44353256</w:t>
    </w:r>
    <w:r>
      <w:rPr>
        <w:sz w:val="16"/>
        <w:szCs w:val="16"/>
      </w:rPr>
      <w:t>v1</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56" w:rsidRDefault="00A72956">
      <w:r>
        <w:separator/>
      </w:r>
    </w:p>
  </w:footnote>
  <w:footnote w:type="continuationSeparator" w:id="0">
    <w:p w:rsidR="00A72956" w:rsidRDefault="00A7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98F1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42DE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6E28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5AFE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58F5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4ED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EE1B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28D7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EF3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23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15ED"/>
    <w:multiLevelType w:val="multilevel"/>
    <w:tmpl w:val="D1AC2890"/>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decimalZero"/>
      <w:pStyle w:val="Heading3"/>
      <w:isLgl/>
      <w:lvlText w:val="(%3)"/>
      <w:lvlJc w:val="left"/>
      <w:pPr>
        <w:tabs>
          <w:tab w:val="num" w:pos="720"/>
        </w:tabs>
        <w:ind w:left="720" w:hanging="432"/>
      </w:pPr>
    </w:lvl>
    <w:lvl w:ilvl="3">
      <w:start w:val="1"/>
      <w:numFmt w:val="decimalZero"/>
      <w:pStyle w:val="Heading4"/>
      <w:isLgl/>
      <w:lvlText w:val="(%4)"/>
      <w:lvlJc w:val="right"/>
      <w:pPr>
        <w:tabs>
          <w:tab w:val="num" w:pos="864"/>
        </w:tabs>
        <w:ind w:left="864" w:hanging="144"/>
      </w:pPr>
    </w:lvl>
    <w:lvl w:ilvl="4">
      <w:start w:val="1"/>
      <w:numFmt w:val="decimalZero"/>
      <w:pStyle w:val="Heading5"/>
      <w:isLgl/>
      <w:lvlText w:val="%5)"/>
      <w:lvlJc w:val="left"/>
      <w:pPr>
        <w:tabs>
          <w:tab w:val="num" w:pos="1008"/>
        </w:tabs>
        <w:ind w:left="1008" w:hanging="432"/>
      </w:pPr>
    </w:lvl>
    <w:lvl w:ilvl="5">
      <w:start w:val="1"/>
      <w:numFmt w:val="decimalZero"/>
      <w:pStyle w:val="Heading6"/>
      <w:isLgl/>
      <w:lvlText w:val="%6)"/>
      <w:lvlJc w:val="left"/>
      <w:pPr>
        <w:tabs>
          <w:tab w:val="num" w:pos="1152"/>
        </w:tabs>
        <w:ind w:left="1152" w:hanging="432"/>
      </w:pPr>
    </w:lvl>
    <w:lvl w:ilvl="6">
      <w:start w:val="1"/>
      <w:numFmt w:val="decimalZero"/>
      <w:pStyle w:val="Heading7"/>
      <w:isLgl/>
      <w:lvlText w:val="%7)"/>
      <w:lvlJc w:val="right"/>
      <w:pPr>
        <w:tabs>
          <w:tab w:val="num" w:pos="1296"/>
        </w:tabs>
        <w:ind w:left="1296" w:hanging="288"/>
      </w:pPr>
    </w:lvl>
    <w:lvl w:ilvl="7">
      <w:start w:val="1"/>
      <w:numFmt w:val="decimalZero"/>
      <w:pStyle w:val="Heading8"/>
      <w:isLgl/>
      <w:lvlText w:val="%8."/>
      <w:lvlJc w:val="left"/>
      <w:pPr>
        <w:tabs>
          <w:tab w:val="num" w:pos="1440"/>
        </w:tabs>
        <w:ind w:left="1440" w:hanging="432"/>
      </w:pPr>
    </w:lvl>
    <w:lvl w:ilvl="8">
      <w:start w:val="1"/>
      <w:numFmt w:val="decimalZero"/>
      <w:pStyle w:val="Heading9"/>
      <w:isLgl/>
      <w:lvlText w:val="%9."/>
      <w:lvlJc w:val="right"/>
      <w:pPr>
        <w:tabs>
          <w:tab w:val="num" w:pos="1584"/>
        </w:tabs>
        <w:ind w:left="1584" w:hanging="144"/>
      </w:pPr>
    </w:lvl>
  </w:abstractNum>
  <w:abstractNum w:abstractNumId="11" w15:restartNumberingAfterBreak="0">
    <w:nsid w:val="12003353"/>
    <w:multiLevelType w:val="multilevel"/>
    <w:tmpl w:val="6F3A71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8E76E37"/>
    <w:multiLevelType w:val="multilevel"/>
    <w:tmpl w:val="842AC770"/>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20"/>
    <w:rsid w:val="00002937"/>
    <w:rsid w:val="00053312"/>
    <w:rsid w:val="000803F7"/>
    <w:rsid w:val="000976D7"/>
    <w:rsid w:val="000E729B"/>
    <w:rsid w:val="00114F1D"/>
    <w:rsid w:val="001747AF"/>
    <w:rsid w:val="0020057A"/>
    <w:rsid w:val="00237D02"/>
    <w:rsid w:val="002440D9"/>
    <w:rsid w:val="00256453"/>
    <w:rsid w:val="00266787"/>
    <w:rsid w:val="00270675"/>
    <w:rsid w:val="002F1A5C"/>
    <w:rsid w:val="00344743"/>
    <w:rsid w:val="003667A9"/>
    <w:rsid w:val="00385AC7"/>
    <w:rsid w:val="003D6320"/>
    <w:rsid w:val="003E2984"/>
    <w:rsid w:val="003E7611"/>
    <w:rsid w:val="003F1412"/>
    <w:rsid w:val="004046B6"/>
    <w:rsid w:val="0043419B"/>
    <w:rsid w:val="004750AF"/>
    <w:rsid w:val="00490EEB"/>
    <w:rsid w:val="004F08CA"/>
    <w:rsid w:val="0050688D"/>
    <w:rsid w:val="00512BCC"/>
    <w:rsid w:val="005203C1"/>
    <w:rsid w:val="0054265A"/>
    <w:rsid w:val="005473F6"/>
    <w:rsid w:val="005B3E9C"/>
    <w:rsid w:val="005B6599"/>
    <w:rsid w:val="006072DC"/>
    <w:rsid w:val="00687BD2"/>
    <w:rsid w:val="006C68D7"/>
    <w:rsid w:val="006D60C8"/>
    <w:rsid w:val="00730EF1"/>
    <w:rsid w:val="00732131"/>
    <w:rsid w:val="007611C0"/>
    <w:rsid w:val="00774EC1"/>
    <w:rsid w:val="007823EC"/>
    <w:rsid w:val="00790790"/>
    <w:rsid w:val="007938EA"/>
    <w:rsid w:val="007A0C4A"/>
    <w:rsid w:val="007A0CEE"/>
    <w:rsid w:val="007C76B0"/>
    <w:rsid w:val="00825692"/>
    <w:rsid w:val="00845BE0"/>
    <w:rsid w:val="00862EF2"/>
    <w:rsid w:val="008820BA"/>
    <w:rsid w:val="00905B6C"/>
    <w:rsid w:val="00933262"/>
    <w:rsid w:val="00964B71"/>
    <w:rsid w:val="0097648D"/>
    <w:rsid w:val="00980AEB"/>
    <w:rsid w:val="009865B8"/>
    <w:rsid w:val="0098748C"/>
    <w:rsid w:val="009B42C2"/>
    <w:rsid w:val="009B6BEC"/>
    <w:rsid w:val="009D488E"/>
    <w:rsid w:val="009D4C1C"/>
    <w:rsid w:val="00A00EE5"/>
    <w:rsid w:val="00A30F69"/>
    <w:rsid w:val="00A5271A"/>
    <w:rsid w:val="00A72956"/>
    <w:rsid w:val="00A75928"/>
    <w:rsid w:val="00A76FB3"/>
    <w:rsid w:val="00A97CCF"/>
    <w:rsid w:val="00AB282A"/>
    <w:rsid w:val="00B73967"/>
    <w:rsid w:val="00BA35DF"/>
    <w:rsid w:val="00BC796C"/>
    <w:rsid w:val="00C46EB4"/>
    <w:rsid w:val="00C76F13"/>
    <w:rsid w:val="00CA06B9"/>
    <w:rsid w:val="00D028DA"/>
    <w:rsid w:val="00D07C2A"/>
    <w:rsid w:val="00D3029E"/>
    <w:rsid w:val="00D4408C"/>
    <w:rsid w:val="00D50A23"/>
    <w:rsid w:val="00D61BD5"/>
    <w:rsid w:val="00D71F98"/>
    <w:rsid w:val="00D9601C"/>
    <w:rsid w:val="00DB1DA7"/>
    <w:rsid w:val="00DB7F90"/>
    <w:rsid w:val="00DD7238"/>
    <w:rsid w:val="00EB194C"/>
    <w:rsid w:val="00EE0DFC"/>
    <w:rsid w:val="00EF21D1"/>
    <w:rsid w:val="00F1214F"/>
    <w:rsid w:val="00F22CD7"/>
    <w:rsid w:val="00FA3E2F"/>
    <w:rsid w:val="00FC2B83"/>
    <w:rsid w:val="00FC70B0"/>
    <w:rsid w:val="00FD550D"/>
    <w:rsid w:val="00FE247E"/>
    <w:rsid w:val="00FE5EA2"/>
    <w:rsid w:val="00FF5CF8"/>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2B8C169D"/>
  <w15:chartTrackingRefBased/>
  <w15:docId w15:val="{119B9AE7-273C-4B26-A4BE-39CD9A6A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djustRightInd w:val="0"/>
    </w:pPr>
    <w:rPr>
      <w:sz w:val="24"/>
      <w:szCs w:val="24"/>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pPr>
      <w:framePr w:w="7920" w:h="1980" w:hSpace="180" w:wrap="auto" w:hAnchor="page" w:xAlign="center" w:yAlign="bottom" w:hRule="exact"/>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pPr>
      <w:widowControl w:val="0"/>
      <w:adjustRightInd w:val="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pPr>
      <w:widowControl w:val="0"/>
      <w:adjustRightInd w:val="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pPr>
      <w:widowControl w:val="0"/>
      <w:adjustRightInd w:val="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pPr>
      <w:widowControl w:val="0"/>
      <w:adjustRightInd w:val="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pPr>
      <w:widowControl w:val="0"/>
      <w:adjustRightInd w:val="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pPr>
      <w:widowControl w:val="0"/>
      <w:adjustRightInd w:val="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pPr>
      <w:widowControl w:val="0"/>
      <w:adjustRightInd w:val="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pPr>
      <w:widowControl w:val="0"/>
      <w:adjustRightInd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pPr>
      <w:widowControl w:val="0"/>
      <w:adjustRightInd w:val="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pPr>
      <w:widowControl w:val="0"/>
      <w:adjustRightInd w:val="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pPr>
      <w:widowControl w:val="0"/>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pPr>
      <w:widowControl w:val="0"/>
      <w:adjustRightInd w:val="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pPr>
      <w:widowControl w:val="0"/>
      <w:adjustRightInd w:val="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pPr>
      <w:widowControl w:val="0"/>
      <w:adjustRightInd w:val="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adjustRightInd w:val="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adjustRightInd w:val="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pPr>
      <w:widowControl w:val="0"/>
      <w:adjustRightInd w:val="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pPr>
      <w:widowControl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pPr>
      <w:widowControl w:val="0"/>
      <w:adjustRightInd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pPr>
      <w:widowControl w:val="0"/>
      <w:adjustRightInd w:val="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pPr>
      <w:widowControl w:val="0"/>
      <w:adjustRightInd w:val="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pPr>
      <w:widowControl w:val="0"/>
      <w:adjustRightInd w:val="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pPr>
      <w:widowControl w:val="0"/>
      <w:adjustRightInd w:val="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pPr>
      <w:widowControl w:val="0"/>
      <w:adjustRightInd w:val="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pPr>
      <w:widowControl w:val="0"/>
      <w:adjustRightInd w:val="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pPr>
      <w:widowControl w:val="0"/>
      <w:adjustRightInd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pPr>
      <w:widowControl w:val="0"/>
      <w:adjustRightInd w:val="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pPr>
      <w:widowControl w:val="0"/>
      <w:adjustRightInd w:val="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pPr>
      <w:widowControl w:val="0"/>
      <w:adjustRightInd w:val="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pPr>
      <w:widowControl w:val="0"/>
      <w:adjustRightInd w:val="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pPr>
      <w:widowControl w:val="0"/>
      <w:adjustRightInd w:val="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pPr>
      <w:widowControl w:val="0"/>
      <w:adjustRightInd w:val="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pPr>
      <w:widowControl w:val="0"/>
      <w:adjustRightInd w:val="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pPr>
      <w:widowControl w:val="0"/>
      <w:adjustRightInd w:val="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table" w:styleId="TableProfessional">
    <w:name w:val="Table Professional"/>
    <w:basedOn w:val="TableNormal"/>
    <w:pPr>
      <w:widowControl w:val="0"/>
      <w:adjustRightInd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pPr>
      <w:widowControl w:val="0"/>
      <w:adjustRightInd w:val="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pPr>
      <w:widowControl w:val="0"/>
      <w:adjustRightInd w:val="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pPr>
      <w:widowControl w:val="0"/>
      <w:adjustRightInd w:val="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pPr>
      <w:widowControl w:val="0"/>
      <w:adjustRightInd w:val="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pPr>
      <w:widowControl w:val="0"/>
      <w:adjustRightInd w:val="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pPr>
      <w:widowControl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pPr>
      <w:widowControl w:val="0"/>
      <w:adjustRightInd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pPr>
      <w:widowControl w:val="0"/>
      <w:adjustRightInd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pPr>
      <w:widowControl w:val="0"/>
      <w:adjustRightInd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